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432B80" w:rsidTr="00432B80">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32B80" w:rsidRDefault="00432B80">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432B80" w:rsidRDefault="00036C63">
            <w:pPr>
              <w:spacing w:after="200" w:line="252" w:lineRule="auto"/>
              <w:rPr>
                <w:rFonts w:ascii="Arial" w:eastAsia="Times New Roman" w:hAnsi="Arial" w:cs="Arial"/>
                <w:bCs/>
                <w:color w:val="000000"/>
                <w:sz w:val="20"/>
                <w:szCs w:val="20"/>
                <w:lang w:val="es-ES" w:eastAsia="es-ES"/>
              </w:rPr>
            </w:pPr>
            <w:r>
              <w:rPr>
                <w:rFonts w:ascii="Arial" w:hAnsi="Arial" w:cs="Arial"/>
                <w:bCs/>
                <w:color w:val="000000"/>
                <w:sz w:val="20"/>
                <w:szCs w:val="20"/>
              </w:rPr>
              <w:t>21</w:t>
            </w:r>
            <w:r w:rsidR="00432B80">
              <w:rPr>
                <w:rFonts w:ascii="Arial" w:hAnsi="Arial" w:cs="Arial"/>
                <w:bCs/>
                <w:color w:val="000000"/>
                <w:sz w:val="20"/>
                <w:szCs w:val="20"/>
              </w:rPr>
              <w:t xml:space="preserve"> de julio de 1980</w:t>
            </w:r>
          </w:p>
        </w:tc>
        <w:tc>
          <w:tcPr>
            <w:tcW w:w="2447" w:type="dxa"/>
            <w:tcBorders>
              <w:top w:val="single" w:sz="8" w:space="0" w:color="000000"/>
              <w:left w:val="single" w:sz="8" w:space="0" w:color="auto"/>
              <w:bottom w:val="single" w:sz="8" w:space="0" w:color="000000"/>
              <w:right w:val="single" w:sz="8" w:space="0" w:color="auto"/>
            </w:tcBorders>
            <w:hideMark/>
          </w:tcPr>
          <w:p w:rsidR="00432B80" w:rsidRDefault="00432B80">
            <w:pPr>
              <w:spacing w:after="200" w:line="252" w:lineRule="auto"/>
              <w:ind w:left="100"/>
              <w:rPr>
                <w:rFonts w:ascii="Arial" w:eastAsia="Times New Roman" w:hAnsi="Arial" w:cs="Arial"/>
                <w:bCs/>
                <w:color w:val="000000"/>
                <w:sz w:val="20"/>
                <w:szCs w:val="20"/>
                <w:lang w:val="es-ES"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432B80" w:rsidRDefault="00FF24FE">
            <w:pPr>
              <w:spacing w:after="200" w:line="252" w:lineRule="auto"/>
              <w:ind w:left="62"/>
              <w:rPr>
                <w:rFonts w:ascii="Arial" w:eastAsia="Times New Roman" w:hAnsi="Arial" w:cs="Arial"/>
                <w:bCs/>
                <w:color w:val="000000"/>
                <w:sz w:val="20"/>
                <w:szCs w:val="20"/>
                <w:lang w:val="es-ES" w:eastAsia="es-ES"/>
              </w:rPr>
            </w:pPr>
            <w:r>
              <w:rPr>
                <w:rFonts w:ascii="Arial" w:hAnsi="Arial" w:cs="Arial"/>
                <w:bCs/>
                <w:color w:val="000000"/>
                <w:sz w:val="20"/>
                <w:szCs w:val="20"/>
              </w:rPr>
              <w:t>41</w:t>
            </w:r>
          </w:p>
        </w:tc>
      </w:tr>
      <w:tr w:rsidR="00432B80" w:rsidTr="00432B80">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432B80" w:rsidRDefault="00432B80">
            <w:pPr>
              <w:spacing w:after="200" w:line="252" w:lineRule="auto"/>
              <w:rPr>
                <w:rFonts w:ascii="Arial" w:eastAsia="Times New Roman" w:hAnsi="Arial" w:cs="Arial"/>
                <w:color w:val="000000"/>
                <w:sz w:val="20"/>
                <w:szCs w:val="20"/>
                <w:lang w:val="es-ES"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432B80" w:rsidRPr="00432B80" w:rsidTr="00432B80">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432B80" w:rsidRDefault="00432B80">
            <w:pPr>
              <w:spacing w:line="252" w:lineRule="auto"/>
              <w:rPr>
                <w:lang w:val="es-ES"/>
              </w:rPr>
            </w:pPr>
            <w:r>
              <w:rPr>
                <w:rFonts w:ascii="Arial" w:hAnsi="Arial" w:cs="Arial"/>
                <w:b/>
                <w:bCs/>
                <w:color w:val="000000"/>
                <w:sz w:val="20"/>
                <w:szCs w:val="20"/>
              </w:rPr>
              <w:t>Recurrente</w:t>
            </w:r>
            <w:r>
              <w:rPr>
                <w:rFonts w:ascii="Arial" w:hAnsi="Arial" w:cs="Arial"/>
                <w:color w:val="000000"/>
                <w:sz w:val="20"/>
                <w:szCs w:val="20"/>
              </w:rPr>
              <w:t xml:space="preserve">: </w:t>
            </w:r>
            <w:r w:rsidRPr="00432B80">
              <w:rPr>
                <w:rFonts w:ascii="Arial" w:hAnsi="Arial" w:cs="Arial"/>
                <w:bCs/>
                <w:color w:val="000000"/>
                <w:sz w:val="20"/>
                <w:szCs w:val="20"/>
              </w:rPr>
              <w:t>Oralia Sánchez Alvarado</w:t>
            </w:r>
          </w:p>
        </w:tc>
      </w:tr>
      <w:tr w:rsidR="00432B80" w:rsidRPr="00432B80" w:rsidTr="00432B80">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432B80" w:rsidRDefault="00432B80" w:rsidP="00432B80">
            <w:pPr>
              <w:spacing w:line="252" w:lineRule="auto"/>
              <w:rPr>
                <w:rFonts w:ascii="Arial" w:hAnsi="Arial" w:cs="Arial"/>
                <w:b/>
                <w:bCs/>
                <w:color w:val="000000"/>
                <w:sz w:val="20"/>
                <w:szCs w:val="20"/>
              </w:rPr>
            </w:pPr>
            <w:r>
              <w:rPr>
                <w:rFonts w:ascii="Arial" w:hAnsi="Arial" w:cs="Arial"/>
                <w:b/>
                <w:bCs/>
                <w:color w:val="000000"/>
                <w:sz w:val="20"/>
                <w:szCs w:val="20"/>
              </w:rPr>
              <w:t xml:space="preserve">Tutelados: </w:t>
            </w:r>
            <w:r w:rsidRPr="00432B80">
              <w:rPr>
                <w:rFonts w:ascii="Arial" w:hAnsi="Arial" w:cs="Arial"/>
                <w:bCs/>
                <w:color w:val="000000"/>
                <w:sz w:val="20"/>
                <w:szCs w:val="20"/>
              </w:rPr>
              <w:t>Kenneth Murillo Sánchez</w:t>
            </w:r>
            <w:r>
              <w:rPr>
                <w:rFonts w:ascii="Arial" w:hAnsi="Arial" w:cs="Arial"/>
                <w:bCs/>
                <w:color w:val="000000"/>
                <w:sz w:val="20"/>
                <w:szCs w:val="20"/>
              </w:rPr>
              <w:t>,</w:t>
            </w:r>
            <w:r w:rsidRPr="00432B80">
              <w:rPr>
                <w:rFonts w:ascii="Arial" w:hAnsi="Arial" w:cs="Arial"/>
                <w:bCs/>
                <w:color w:val="000000"/>
                <w:sz w:val="20"/>
                <w:szCs w:val="20"/>
              </w:rPr>
              <w:t xml:space="preserve"> Alexander Murillo Sánchez</w:t>
            </w:r>
          </w:p>
        </w:tc>
      </w:tr>
      <w:tr w:rsidR="00432B80" w:rsidTr="00432B80">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32B80" w:rsidRDefault="00432B80" w:rsidP="00A43D09">
            <w:pPr>
              <w:spacing w:before="100" w:after="100" w:line="252" w:lineRule="auto"/>
              <w:jc w:val="both"/>
              <w:rPr>
                <w:rFonts w:ascii="Arial" w:eastAsia="Times New Roman" w:hAnsi="Arial" w:cs="Arial"/>
                <w:bCs/>
                <w:color w:val="000000"/>
                <w:sz w:val="20"/>
                <w:szCs w:val="20"/>
                <w:lang w:val="es-ES" w:eastAsia="es-ES"/>
              </w:rPr>
            </w:pPr>
            <w:r>
              <w:rPr>
                <w:rFonts w:ascii="Arial" w:hAnsi="Arial" w:cs="Arial"/>
                <w:b/>
                <w:bCs/>
                <w:color w:val="000000"/>
                <w:sz w:val="20"/>
                <w:szCs w:val="20"/>
              </w:rPr>
              <w:t>Recurrido</w:t>
            </w:r>
            <w:r w:rsidR="00A43D09">
              <w:rPr>
                <w:rFonts w:ascii="Arial" w:hAnsi="Arial" w:cs="Arial"/>
                <w:b/>
                <w:bCs/>
                <w:color w:val="000000"/>
                <w:sz w:val="20"/>
                <w:szCs w:val="20"/>
              </w:rPr>
              <w:t>s</w:t>
            </w:r>
            <w:r>
              <w:rPr>
                <w:rFonts w:ascii="Arial" w:hAnsi="Arial" w:cs="Arial"/>
                <w:b/>
                <w:bCs/>
                <w:color w:val="000000"/>
                <w:sz w:val="20"/>
                <w:szCs w:val="20"/>
              </w:rPr>
              <w:t>:</w:t>
            </w:r>
            <w:r>
              <w:rPr>
                <w:rFonts w:ascii="Arial" w:hAnsi="Arial" w:cs="Arial"/>
                <w:bCs/>
                <w:color w:val="000000"/>
                <w:sz w:val="20"/>
                <w:szCs w:val="20"/>
              </w:rPr>
              <w:t xml:space="preserve"> </w:t>
            </w:r>
            <w:r w:rsidR="00A43D09">
              <w:rPr>
                <w:rFonts w:ascii="Arial" w:hAnsi="Arial" w:cs="Arial"/>
                <w:bCs/>
                <w:color w:val="000000"/>
                <w:sz w:val="20"/>
                <w:szCs w:val="20"/>
              </w:rPr>
              <w:t>Juez Tutelar de Menores de San Carlos, Juez de Instrucción de San Carlos</w:t>
            </w:r>
          </w:p>
        </w:tc>
      </w:tr>
      <w:tr w:rsidR="00432B80" w:rsidRPr="00A43D09" w:rsidTr="00432B80">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32B80" w:rsidRDefault="00432B80" w:rsidP="00A43D09">
            <w:pPr>
              <w:spacing w:line="252" w:lineRule="auto"/>
              <w:jc w:val="both"/>
              <w:rPr>
                <w:rFonts w:ascii="Arial" w:eastAsia="Times New Roman" w:hAnsi="Arial" w:cs="Arial"/>
                <w:color w:val="000000"/>
                <w:sz w:val="20"/>
                <w:szCs w:val="20"/>
                <w:lang w:val="es-ES" w:eastAsia="es-ES"/>
              </w:rPr>
            </w:pPr>
            <w:r>
              <w:rPr>
                <w:rFonts w:ascii="Arial" w:hAnsi="Arial" w:cs="Arial"/>
                <w:b/>
                <w:bCs/>
                <w:color w:val="000000"/>
                <w:sz w:val="20"/>
                <w:szCs w:val="20"/>
              </w:rPr>
              <w:t>Objeto del recurso</w:t>
            </w:r>
            <w:r>
              <w:rPr>
                <w:rFonts w:ascii="Arial" w:hAnsi="Arial" w:cs="Arial"/>
                <w:color w:val="000000"/>
                <w:sz w:val="20"/>
                <w:szCs w:val="20"/>
              </w:rPr>
              <w:t xml:space="preserve">: </w:t>
            </w:r>
            <w:r w:rsidR="00A43D09">
              <w:rPr>
                <w:rFonts w:ascii="Arial" w:hAnsi="Arial" w:cs="Arial"/>
                <w:color w:val="000000"/>
                <w:sz w:val="20"/>
                <w:szCs w:val="20"/>
              </w:rPr>
              <w:t>La recurrente impugna la detención de sus hijos, los tutelados.</w:t>
            </w:r>
          </w:p>
        </w:tc>
      </w:tr>
      <w:tr w:rsidR="00A43D09" w:rsidRPr="00A43D09" w:rsidTr="00432B80">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A43D09" w:rsidRPr="00A43D09" w:rsidRDefault="00A43D09" w:rsidP="00A43D09">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El primer tutelado, menor de edad, fue puesto en libertad y depositado con sus padres; contra el segundo hay auto de detención por robo en daño del señor John Robin Hood.</w:t>
            </w:r>
          </w:p>
        </w:tc>
      </w:tr>
      <w:tr w:rsidR="00432B80" w:rsidTr="00432B80">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432B80" w:rsidRDefault="00432B80">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432B80" w:rsidRDefault="00432B80" w:rsidP="00A43D09">
            <w:pPr>
              <w:spacing w:line="252"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eastAsia="es-ES"/>
              </w:rPr>
              <w:t>Archivado (</w:t>
            </w:r>
            <w:r w:rsidR="00A43D09">
              <w:rPr>
                <w:rFonts w:ascii="Arial" w:eastAsia="Times New Roman" w:hAnsi="Arial" w:cs="Arial"/>
                <w:color w:val="000000"/>
                <w:sz w:val="20"/>
                <w:szCs w:val="20"/>
                <w:lang w:eastAsia="es-ES"/>
              </w:rPr>
              <w:t>primer tutelado</w:t>
            </w:r>
            <w:r>
              <w:rPr>
                <w:rFonts w:ascii="Arial" w:eastAsia="Times New Roman" w:hAnsi="Arial" w:cs="Arial"/>
                <w:color w:val="000000"/>
                <w:sz w:val="20"/>
                <w:szCs w:val="20"/>
                <w:lang w:eastAsia="es-ES"/>
              </w:rPr>
              <w:t>)</w:t>
            </w:r>
            <w:r w:rsidR="00A43D09">
              <w:rPr>
                <w:rFonts w:ascii="Arial" w:eastAsia="Times New Roman" w:hAnsi="Arial" w:cs="Arial"/>
                <w:color w:val="000000"/>
                <w:sz w:val="20"/>
                <w:szCs w:val="20"/>
                <w:lang w:eastAsia="es-ES"/>
              </w:rPr>
              <w:t>, sin lugar (segundo tutelado)</w:t>
            </w:r>
            <w:r>
              <w:rPr>
                <w:rFonts w:ascii="Arial" w:eastAsia="Times New Roman" w:hAnsi="Arial" w:cs="Arial"/>
                <w:color w:val="000000"/>
                <w:sz w:val="20"/>
                <w:szCs w:val="20"/>
                <w:lang w:eastAsia="es-ES"/>
              </w:rPr>
              <w:t>.</w:t>
            </w:r>
          </w:p>
        </w:tc>
      </w:tr>
    </w:tbl>
    <w:p w:rsidR="00432B80" w:rsidRDefault="00432B80" w:rsidP="000D3BBF">
      <w:pPr>
        <w:spacing w:after="0" w:line="360" w:lineRule="auto"/>
        <w:jc w:val="center"/>
        <w:rPr>
          <w:rFonts w:ascii="Times New Roman" w:eastAsia="Times New Roman" w:hAnsi="Times New Roman" w:cs="Times New Roman"/>
          <w:b/>
          <w:bCs/>
          <w:sz w:val="28"/>
          <w:szCs w:val="28"/>
          <w:lang w:eastAsia="es-ES"/>
        </w:rPr>
      </w:pPr>
    </w:p>
    <w:p w:rsidR="000D3BBF" w:rsidRDefault="000D3BBF" w:rsidP="000D3BBF">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41</w:t>
      </w:r>
    </w:p>
    <w:p w:rsidR="000D3BBF" w:rsidRDefault="000D3BBF" w:rsidP="000D3BBF">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0D3BBF" w:rsidRDefault="000D3BBF" w:rsidP="000D3BBF">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veintiuno de julio de mil novecientos ochenta</w:t>
      </w:r>
      <w:r>
        <w:rPr>
          <w:rFonts w:ascii="Times New Roman" w:eastAsia="Times New Roman" w:hAnsi="Times New Roman" w:cs="Times New Roman"/>
          <w:sz w:val="28"/>
          <w:szCs w:val="28"/>
          <w:lang w:eastAsia="es-ES"/>
        </w:rPr>
        <w:t xml:space="preserve">, con asistencia inicial de los señores Magistrados Coto (Presidente); Retana, Arroyo, Odio, Cervantes, Vallejo, Cob, Blanco, Fernández, Carvajal, Zavaleta, Porter, Benavides y Saborío, y de los Suplentes licenciados Joaquín Garro Jiménez y Miguel </w:t>
      </w:r>
      <w:r w:rsidR="00C93D90">
        <w:rPr>
          <w:rFonts w:ascii="Times New Roman" w:eastAsia="Times New Roman" w:hAnsi="Times New Roman" w:cs="Times New Roman"/>
          <w:sz w:val="28"/>
          <w:szCs w:val="28"/>
          <w:lang w:eastAsia="es-ES"/>
        </w:rPr>
        <w:t>Á</w:t>
      </w:r>
      <w:r>
        <w:rPr>
          <w:rFonts w:ascii="Times New Roman" w:eastAsia="Times New Roman" w:hAnsi="Times New Roman" w:cs="Times New Roman"/>
          <w:sz w:val="28"/>
          <w:szCs w:val="28"/>
          <w:lang w:eastAsia="es-ES"/>
        </w:rPr>
        <w:t>ngel Rodríguez Arce, quienes sustituyen, por su orden, a los Magistrados Valverde y Villalobos.</w:t>
      </w:r>
    </w:p>
    <w:p w:rsidR="000D3BBF" w:rsidRDefault="000D3BBF" w:rsidP="000D3BBF">
      <w:pPr>
        <w:spacing w:line="360" w:lineRule="auto"/>
        <w:jc w:val="both"/>
        <w:rPr>
          <w:rFonts w:ascii="Times New Roman" w:eastAsia="Times New Roman" w:hAnsi="Times New Roman" w:cs="Times New Roman"/>
          <w:sz w:val="28"/>
          <w:szCs w:val="28"/>
          <w:lang w:eastAsia="es-ES"/>
        </w:rPr>
      </w:pPr>
    </w:p>
    <w:p w:rsidR="000D3BBF" w:rsidRDefault="000D3BBF" w:rsidP="000D3BBF">
      <w:pPr>
        <w:spacing w:line="360" w:lineRule="auto"/>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w:t>
      </w:r>
      <w:r w:rsidR="00BC2ED9">
        <w:rPr>
          <w:rFonts w:ascii="Times New Roman" w:eastAsia="Times New Roman" w:hAnsi="Times New Roman" w:cs="Times New Roman"/>
          <w:b/>
          <w:sz w:val="28"/>
          <w:szCs w:val="28"/>
          <w:lang w:eastAsia="es-ES"/>
        </w:rPr>
        <w:t>ículo II</w:t>
      </w:r>
    </w:p>
    <w:p w:rsidR="00BC2ED9" w:rsidRDefault="00BC2ED9" w:rsidP="00BC2ED9">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Se conoció de un recurso de Hábeas Corpus interpuesto por la señora </w:t>
      </w:r>
      <w:r w:rsidR="00432B80" w:rsidRPr="00432B80">
        <w:rPr>
          <w:rFonts w:ascii="Times New Roman" w:eastAsia="Times New Roman" w:hAnsi="Times New Roman" w:cs="Times New Roman"/>
          <w:b/>
          <w:sz w:val="28"/>
          <w:szCs w:val="28"/>
          <w:lang w:eastAsia="es-ES"/>
        </w:rPr>
        <w:t>ORALIA SÁNCHEZ ALVARADO</w:t>
      </w:r>
      <w:r>
        <w:rPr>
          <w:rFonts w:ascii="Times New Roman" w:eastAsia="Times New Roman" w:hAnsi="Times New Roman" w:cs="Times New Roman"/>
          <w:sz w:val="28"/>
          <w:szCs w:val="28"/>
          <w:lang w:eastAsia="es-ES"/>
        </w:rPr>
        <w:t xml:space="preserve">, en favor de </w:t>
      </w:r>
      <w:r>
        <w:rPr>
          <w:rFonts w:ascii="Times New Roman" w:eastAsia="Times New Roman" w:hAnsi="Times New Roman" w:cs="Times New Roman"/>
          <w:b/>
          <w:sz w:val="28"/>
          <w:szCs w:val="28"/>
          <w:lang w:eastAsia="es-ES"/>
        </w:rPr>
        <w:t xml:space="preserve">KENNETH </w:t>
      </w:r>
      <w:r>
        <w:rPr>
          <w:rFonts w:ascii="Times New Roman" w:eastAsia="Times New Roman" w:hAnsi="Times New Roman" w:cs="Times New Roman"/>
          <w:sz w:val="28"/>
          <w:szCs w:val="28"/>
          <w:lang w:eastAsia="es-ES"/>
        </w:rPr>
        <w:t xml:space="preserve">y </w:t>
      </w:r>
      <w:r>
        <w:rPr>
          <w:rFonts w:ascii="Times New Roman" w:eastAsia="Times New Roman" w:hAnsi="Times New Roman" w:cs="Times New Roman"/>
          <w:b/>
          <w:sz w:val="28"/>
          <w:szCs w:val="28"/>
          <w:lang w:eastAsia="es-ES"/>
        </w:rPr>
        <w:t>ALEXANDER MURILLO SÁNCHEZ</w:t>
      </w:r>
      <w:r>
        <w:rPr>
          <w:rFonts w:ascii="Times New Roman" w:eastAsia="Times New Roman" w:hAnsi="Times New Roman" w:cs="Times New Roman"/>
          <w:sz w:val="28"/>
          <w:szCs w:val="28"/>
          <w:lang w:eastAsia="es-ES"/>
        </w:rPr>
        <w:t>, de quienes dijo que sufren prisión ilegítima.</w:t>
      </w:r>
    </w:p>
    <w:p w:rsidR="00BC2ED9" w:rsidRDefault="00BC2ED9" w:rsidP="00BC2ED9">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lastRenderedPageBreak/>
        <w:t>Solicitados los correspondientes informes, se determinó que contra el mencionado Kenneth Murillo Sánchez, quien es menor de edad, se instruyen unas diligencias en el Juzgado Tutelar de Menores de San Carlos, por el delito de robo en</w:t>
      </w:r>
      <w:r w:rsidR="00655222">
        <w:rPr>
          <w:rFonts w:ascii="Times New Roman" w:eastAsia="Times New Roman" w:hAnsi="Times New Roman" w:cs="Times New Roman"/>
          <w:sz w:val="28"/>
          <w:szCs w:val="28"/>
          <w:lang w:eastAsia="es-ES"/>
        </w:rPr>
        <w:t xml:space="preserve"> daño del señor John Robin Hood. Del expediente respectivo se desprende que el menor Kenneth Murillo Sánchez puede estar implicado en un robo de varios artículos que se hallaban en el vehículo del señor Hood, por un valor de setenta mil colones. Consta también que una vez entrevistado el menor, se nombró a sus padres como depositarios, mientras se prosigue la investigación, por lo que a la fecha se encuentra en libertad.</w:t>
      </w:r>
    </w:p>
    <w:p w:rsidR="00655222" w:rsidRDefault="00655222" w:rsidP="00BC2ED9">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Por otra parte</w:t>
      </w:r>
      <w:r w:rsidR="00432FBD">
        <w:rPr>
          <w:rFonts w:ascii="Times New Roman" w:eastAsia="Times New Roman" w:hAnsi="Times New Roman" w:cs="Times New Roman"/>
          <w:sz w:val="28"/>
          <w:szCs w:val="28"/>
          <w:lang w:eastAsia="es-ES"/>
        </w:rPr>
        <w:t>se tuvo a la vista un expediente por robo, en daño del señor Hood, en que figura como co-imputado Alexander Murillo Sánchez, al parecer los mismos hechos en que participó el menor Kenneth Murillo. En ese legajo consta que el señor Juez de Instrucción de San Carlos, por auto de las catorce horas del tres de julio en curso, ordenó la detención del mencionado Alexander Murillo.</w:t>
      </w:r>
    </w:p>
    <w:p w:rsidR="00432FBD" w:rsidRPr="00BC2ED9" w:rsidRDefault="00432FBD" w:rsidP="00BC2ED9">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Previa deliberación se acordó: a) Archivar el recurso en cuanto al menor Kenneth Murillo Sánchez, pues se le dejó en libertad y fue depositado en sus padres, sin que esta última medida pudiera dar mérito para el Hábeas Corpus; y b) Declararlo sin lugar en cuanto a lo que se refiere a Alexander Murillo Sánchez, por existir en su contra orden de detención d</w:t>
      </w:r>
      <w:r w:rsidR="00CE5ABD">
        <w:rPr>
          <w:rFonts w:ascii="Times New Roman" w:eastAsia="Times New Roman" w:hAnsi="Times New Roman" w:cs="Times New Roman"/>
          <w:sz w:val="28"/>
          <w:szCs w:val="28"/>
          <w:lang w:eastAsia="es-ES"/>
        </w:rPr>
        <w:t>ictada por autoridad competente, la cual tiene respaldo en las actuaciones practicadas en la sumaria.</w:t>
      </w:r>
      <w:bookmarkStart w:id="0" w:name="_GoBack"/>
      <w:bookmarkEnd w:id="0"/>
    </w:p>
    <w:p w:rsidR="000D3BBF" w:rsidRDefault="000D3BBF" w:rsidP="000D3BBF">
      <w:pPr>
        <w:spacing w:line="360" w:lineRule="auto"/>
        <w:jc w:val="center"/>
        <w:rPr>
          <w:rFonts w:ascii="Times New Roman" w:eastAsia="Times New Roman" w:hAnsi="Times New Roman" w:cs="Times New Roman"/>
          <w:b/>
          <w:sz w:val="28"/>
          <w:szCs w:val="28"/>
          <w:lang w:eastAsia="es-ES"/>
        </w:rPr>
      </w:pPr>
    </w:p>
    <w:p w:rsidR="000D3BBF" w:rsidRDefault="000D3BBF" w:rsidP="000D3BBF">
      <w:pPr>
        <w:spacing w:line="360" w:lineRule="auto"/>
        <w:jc w:val="center"/>
        <w:rPr>
          <w:rFonts w:ascii="Times New Roman" w:eastAsia="Times New Roman" w:hAnsi="Times New Roman" w:cs="Times New Roman"/>
          <w:b/>
          <w:sz w:val="28"/>
          <w:szCs w:val="28"/>
          <w:lang w:eastAsia="es-ES"/>
        </w:rPr>
      </w:pPr>
    </w:p>
    <w:p w:rsidR="000D3BBF" w:rsidRDefault="000D3BBF" w:rsidP="000D3BBF">
      <w:pPr>
        <w:spacing w:line="360" w:lineRule="auto"/>
        <w:jc w:val="center"/>
        <w:rPr>
          <w:rFonts w:ascii="Times New Roman" w:eastAsia="Times New Roman" w:hAnsi="Times New Roman" w:cs="Times New Roman"/>
          <w:b/>
          <w:sz w:val="28"/>
          <w:szCs w:val="28"/>
          <w:lang w:eastAsia="es-ES"/>
        </w:rPr>
      </w:pPr>
    </w:p>
    <w:p w:rsidR="00C62E06" w:rsidRDefault="00C62E06"/>
    <w:sectPr w:rsidR="00C62E06" w:rsidSect="0054351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defaultTabStop w:val="708"/>
  <w:hyphenationZone w:val="425"/>
  <w:characterSpacingControl w:val="doNotCompress"/>
  <w:compat/>
  <w:rsids>
    <w:rsidRoot w:val="00721288"/>
    <w:rsid w:val="00036C63"/>
    <w:rsid w:val="000D3BBF"/>
    <w:rsid w:val="00432B80"/>
    <w:rsid w:val="00432FBD"/>
    <w:rsid w:val="00543512"/>
    <w:rsid w:val="00655222"/>
    <w:rsid w:val="00721288"/>
    <w:rsid w:val="00745629"/>
    <w:rsid w:val="00986840"/>
    <w:rsid w:val="00A43D09"/>
    <w:rsid w:val="00BC2ED9"/>
    <w:rsid w:val="00C62E06"/>
    <w:rsid w:val="00C93D90"/>
    <w:rsid w:val="00CE5ABD"/>
    <w:rsid w:val="00FF24FE"/>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BBF"/>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2450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3</Pages>
  <Words>431</Words>
  <Characters>2376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9</cp:revision>
  <dcterms:created xsi:type="dcterms:W3CDTF">2017-08-11T20:49:00Z</dcterms:created>
  <dcterms:modified xsi:type="dcterms:W3CDTF">2017-09-28T19:19:00Z</dcterms:modified>
</cp:coreProperties>
</file>