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521A04" w:rsidTr="00521A04">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A04" w:rsidRDefault="00521A04">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521A04" w:rsidRDefault="00DC237C">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10</w:t>
            </w:r>
            <w:r w:rsidR="00521A04">
              <w:rPr>
                <w:rFonts w:ascii="Arial" w:hAnsi="Arial" w:cs="Arial"/>
                <w:bCs/>
                <w:color w:val="000000"/>
                <w:sz w:val="20"/>
                <w:szCs w:val="20"/>
              </w:rPr>
              <w:t xml:space="preserve"> de enero de 1983</w:t>
            </w:r>
          </w:p>
        </w:tc>
        <w:tc>
          <w:tcPr>
            <w:tcW w:w="2447" w:type="dxa"/>
            <w:tcBorders>
              <w:top w:val="single" w:sz="8" w:space="0" w:color="000000"/>
              <w:left w:val="single" w:sz="8" w:space="0" w:color="auto"/>
              <w:bottom w:val="single" w:sz="8" w:space="0" w:color="000000"/>
              <w:right w:val="single" w:sz="8" w:space="0" w:color="auto"/>
            </w:tcBorders>
            <w:hideMark/>
          </w:tcPr>
          <w:p w:rsidR="00521A04" w:rsidRDefault="00521A04">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521A04" w:rsidRDefault="00DC237C">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2</w:t>
            </w:r>
          </w:p>
        </w:tc>
      </w:tr>
      <w:tr w:rsidR="00521A04" w:rsidTr="00521A0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21A04" w:rsidRDefault="00521A04">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521A04" w:rsidTr="00521A0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21A04" w:rsidRDefault="00521A04" w:rsidP="00521A04">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521A04">
              <w:rPr>
                <w:rFonts w:ascii="Arial" w:hAnsi="Arial" w:cs="Arial"/>
                <w:bCs/>
                <w:color w:val="000000"/>
                <w:sz w:val="20"/>
                <w:szCs w:val="20"/>
              </w:rPr>
              <w:t>Fernando Sancho Villalta</w:t>
            </w:r>
          </w:p>
        </w:tc>
      </w:tr>
      <w:tr w:rsidR="00521A04" w:rsidTr="00521A0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21A04" w:rsidRDefault="00521A04">
            <w:pPr>
              <w:spacing w:line="252" w:lineRule="auto"/>
              <w:rPr>
                <w:rFonts w:ascii="Arial" w:hAnsi="Arial" w:cs="Arial"/>
                <w:bCs/>
                <w:color w:val="000000"/>
                <w:sz w:val="20"/>
                <w:szCs w:val="20"/>
              </w:rPr>
            </w:pPr>
            <w:r>
              <w:rPr>
                <w:rFonts w:ascii="Arial" w:hAnsi="Arial" w:cs="Arial"/>
                <w:b/>
                <w:bCs/>
                <w:color w:val="000000"/>
                <w:sz w:val="20"/>
                <w:szCs w:val="20"/>
              </w:rPr>
              <w:t>Tutelada:</w:t>
            </w:r>
            <w:r>
              <w:rPr>
                <w:rFonts w:ascii="Times New Roman" w:eastAsia="Times New Roman" w:hAnsi="Times New Roman" w:cs="Times New Roman"/>
                <w:b/>
                <w:sz w:val="28"/>
                <w:szCs w:val="28"/>
                <w:lang w:eastAsia="es-ES"/>
              </w:rPr>
              <w:t xml:space="preserve"> </w:t>
            </w:r>
            <w:r w:rsidRPr="00521A04">
              <w:rPr>
                <w:rFonts w:ascii="Arial" w:hAnsi="Arial" w:cs="Arial"/>
                <w:bCs/>
                <w:color w:val="000000"/>
                <w:sz w:val="20"/>
                <w:szCs w:val="20"/>
              </w:rPr>
              <w:t>Neftalí Castro Flores</w:t>
            </w:r>
          </w:p>
        </w:tc>
      </w:tr>
      <w:tr w:rsidR="00521A04" w:rsidTr="00521A0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A04" w:rsidRDefault="00521A04" w:rsidP="00DC237C">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sidR="00DC237C">
              <w:rPr>
                <w:rFonts w:ascii="Arial" w:hAnsi="Arial" w:cs="Arial"/>
                <w:bCs/>
                <w:color w:val="000000"/>
                <w:sz w:val="20"/>
                <w:szCs w:val="20"/>
              </w:rPr>
              <w:t xml:space="preserve"> Alcalde de Tarrazú</w:t>
            </w:r>
          </w:p>
        </w:tc>
      </w:tr>
      <w:tr w:rsidR="00521A04" w:rsidTr="00521A0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A04" w:rsidRDefault="00521A04" w:rsidP="00DC237C">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sidR="00DC237C">
              <w:rPr>
                <w:rFonts w:ascii="Arial" w:hAnsi="Arial" w:cs="Arial"/>
                <w:color w:val="000000"/>
                <w:sz w:val="20"/>
                <w:szCs w:val="20"/>
              </w:rPr>
              <w:t>El</w:t>
            </w:r>
            <w:r>
              <w:rPr>
                <w:rFonts w:ascii="Arial" w:hAnsi="Arial" w:cs="Arial"/>
                <w:color w:val="000000"/>
                <w:sz w:val="20"/>
                <w:szCs w:val="20"/>
              </w:rPr>
              <w:t xml:space="preserve"> recurrente impugna la detención </w:t>
            </w:r>
            <w:r w:rsidR="00DC237C">
              <w:rPr>
                <w:rFonts w:ascii="Arial" w:hAnsi="Arial" w:cs="Arial"/>
                <w:color w:val="000000"/>
                <w:sz w:val="20"/>
                <w:szCs w:val="20"/>
              </w:rPr>
              <w:t>del tutelado</w:t>
            </w:r>
            <w:r>
              <w:rPr>
                <w:rFonts w:ascii="Arial" w:hAnsi="Arial" w:cs="Arial"/>
                <w:color w:val="000000"/>
                <w:sz w:val="20"/>
                <w:szCs w:val="20"/>
              </w:rPr>
              <w:t>.</w:t>
            </w:r>
          </w:p>
        </w:tc>
      </w:tr>
      <w:tr w:rsidR="00521A04" w:rsidTr="00521A0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A04" w:rsidRDefault="00521A04" w:rsidP="00DC237C">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sidR="00DC237C">
              <w:rPr>
                <w:rFonts w:ascii="Arial" w:hAnsi="Arial" w:cs="Arial"/>
                <w:bCs/>
                <w:color w:val="000000"/>
                <w:sz w:val="20"/>
                <w:szCs w:val="20"/>
              </w:rPr>
              <w:t>La detención se ordenó por la falta de pago de las cuotas obrero—patronales por parte del tutelado, y se dejó sin efecto la orden al recibirse la prueba aportada por el acusado.</w:t>
            </w:r>
          </w:p>
        </w:tc>
      </w:tr>
      <w:tr w:rsidR="00521A04" w:rsidTr="00521A04">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A04" w:rsidRDefault="00521A04">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21A04" w:rsidRDefault="00DC237C">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521A04" w:rsidRDefault="00521A04" w:rsidP="00185484">
      <w:pPr>
        <w:spacing w:after="0" w:line="360" w:lineRule="auto"/>
        <w:jc w:val="center"/>
        <w:rPr>
          <w:rFonts w:ascii="Times New Roman" w:eastAsia="Times New Roman" w:hAnsi="Times New Roman" w:cs="Times New Roman"/>
          <w:b/>
          <w:bCs/>
          <w:sz w:val="28"/>
          <w:szCs w:val="28"/>
          <w:lang w:eastAsia="es-ES"/>
        </w:rPr>
      </w:pPr>
    </w:p>
    <w:p w:rsidR="00185484" w:rsidRDefault="00185484" w:rsidP="00185484">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2</w:t>
      </w:r>
    </w:p>
    <w:p w:rsidR="00185484" w:rsidRDefault="00185484" w:rsidP="00185484">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185484" w:rsidRDefault="00185484" w:rsidP="0018548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diez de enero de mil novecientos ochenta y tres</w:t>
      </w:r>
      <w:r>
        <w:rPr>
          <w:rFonts w:ascii="Times New Roman" w:eastAsia="Times New Roman" w:hAnsi="Times New Roman" w:cs="Times New Roman"/>
          <w:sz w:val="28"/>
          <w:szCs w:val="28"/>
          <w:lang w:eastAsia="es-ES"/>
        </w:rPr>
        <w:t>, con asistencia inicial de los señores Magistrados Odio (Presidente); Arroyo, Cervantes, Zavaleta, Chacón, Blanco, Fernández, Cob,</w:t>
      </w:r>
      <w:r w:rsidR="00521A0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Sotela,</w:t>
      </w:r>
      <w:r w:rsidR="00521A0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Valverde, Benavides y Saborío.</w:t>
      </w:r>
    </w:p>
    <w:p w:rsidR="00185484" w:rsidRDefault="00185484" w:rsidP="00185484">
      <w:pPr>
        <w:spacing w:line="360" w:lineRule="auto"/>
        <w:jc w:val="both"/>
        <w:rPr>
          <w:rFonts w:ascii="Times New Roman" w:eastAsia="Times New Roman" w:hAnsi="Times New Roman" w:cs="Times New Roman"/>
          <w:sz w:val="28"/>
          <w:szCs w:val="28"/>
          <w:lang w:eastAsia="es-ES"/>
        </w:rPr>
      </w:pPr>
    </w:p>
    <w:p w:rsidR="00185484" w:rsidRDefault="00185484" w:rsidP="00185484">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185484" w:rsidRDefault="00185484" w:rsidP="0018548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conoció de un recurso de Hábeas Corpus planteado por el licenciado </w:t>
      </w:r>
      <w:r w:rsidR="00521A04" w:rsidRPr="00521A04">
        <w:rPr>
          <w:rFonts w:ascii="Times New Roman" w:eastAsia="Times New Roman" w:hAnsi="Times New Roman" w:cs="Times New Roman"/>
          <w:b/>
          <w:sz w:val="28"/>
          <w:szCs w:val="28"/>
          <w:lang w:eastAsia="es-ES"/>
        </w:rPr>
        <w:t>FERNANDO SANCHO VILLALTA</w:t>
      </w:r>
      <w:r>
        <w:rPr>
          <w:rFonts w:ascii="Times New Roman" w:eastAsia="Times New Roman" w:hAnsi="Times New Roman" w:cs="Times New Roman"/>
          <w:sz w:val="28"/>
          <w:szCs w:val="28"/>
          <w:lang w:eastAsia="es-ES"/>
        </w:rPr>
        <w:t xml:space="preserve"> en favor de </w:t>
      </w:r>
      <w:r>
        <w:rPr>
          <w:rFonts w:ascii="Times New Roman" w:eastAsia="Times New Roman" w:hAnsi="Times New Roman" w:cs="Times New Roman"/>
          <w:b/>
          <w:sz w:val="28"/>
          <w:szCs w:val="28"/>
          <w:lang w:eastAsia="es-ES"/>
        </w:rPr>
        <w:t>NEFTALÍ CASTRO FLORES</w:t>
      </w:r>
      <w:r>
        <w:rPr>
          <w:rFonts w:ascii="Times New Roman" w:eastAsia="Times New Roman" w:hAnsi="Times New Roman" w:cs="Times New Roman"/>
          <w:sz w:val="28"/>
          <w:szCs w:val="28"/>
          <w:lang w:eastAsia="es-ES"/>
        </w:rPr>
        <w:t>, quien dice que el señor Alcalde de Tarrazú ordenó la captura del señor Castro de manera ilegal y contra lo actuado en el proceso.</w:t>
      </w:r>
    </w:p>
    <w:p w:rsidR="0055383C" w:rsidRDefault="0055383C" w:rsidP="0018548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Luego de solicitado el correspondiente informe, el señor Alcalde manifiesta que ordenó la detención del señor Castro Flores, en razón de que se le acusa de falta de pago de las cuotas obrero patronales a la Caja Costarricense de </w:t>
      </w:r>
      <w:r>
        <w:rPr>
          <w:rFonts w:ascii="Times New Roman" w:eastAsia="Times New Roman" w:hAnsi="Times New Roman" w:cs="Times New Roman"/>
          <w:sz w:val="28"/>
          <w:szCs w:val="28"/>
          <w:lang w:eastAsia="es-ES"/>
        </w:rPr>
        <w:lastRenderedPageBreak/>
        <w:t>Seguro Social. Agrega el señor Alcalde que por haber ordenado recibir la prueba ofrecida por el acusado, dejó sin efecto aquella orden, la cual en ningún momento se hizo efectiva.</w:t>
      </w:r>
    </w:p>
    <w:p w:rsidR="0055383C" w:rsidRPr="00185484" w:rsidRDefault="0055383C" w:rsidP="0018548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Previa deliberación y con vista en lo expuesto, se acordó: Declarar s</w:t>
      </w:r>
      <w:r w:rsidR="00D93A18">
        <w:rPr>
          <w:rFonts w:ascii="Times New Roman" w:eastAsia="Times New Roman" w:hAnsi="Times New Roman" w:cs="Times New Roman"/>
          <w:sz w:val="28"/>
          <w:szCs w:val="28"/>
          <w:lang w:eastAsia="es-ES"/>
        </w:rPr>
        <w:t>in lugar el recurso interpuesto.</w:t>
      </w:r>
      <w:bookmarkStart w:id="0" w:name="_GoBack"/>
      <w:bookmarkEnd w:id="0"/>
    </w:p>
    <w:p w:rsidR="00C62E06" w:rsidRDefault="00C62E06"/>
    <w:sectPr w:rsidR="00C62E06" w:rsidSect="00E554C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124313"/>
    <w:rsid w:val="00124313"/>
    <w:rsid w:val="00185484"/>
    <w:rsid w:val="00521A04"/>
    <w:rsid w:val="0055383C"/>
    <w:rsid w:val="00986840"/>
    <w:rsid w:val="00C62E06"/>
    <w:rsid w:val="00D93A18"/>
    <w:rsid w:val="00DC237C"/>
    <w:rsid w:val="00E554C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8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0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4</cp:revision>
  <dcterms:created xsi:type="dcterms:W3CDTF">2017-09-05T14:53:00Z</dcterms:created>
  <dcterms:modified xsi:type="dcterms:W3CDTF">2017-10-10T19:50:00Z</dcterms:modified>
</cp:coreProperties>
</file>