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837D14" w:rsidTr="00837D14">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7D14" w:rsidRDefault="00837D14">
            <w:pPr>
              <w:spacing w:after="200"/>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837D14" w:rsidRDefault="00837D14">
            <w:pPr>
              <w:spacing w:after="200"/>
              <w:rPr>
                <w:rFonts w:ascii="Arial" w:eastAsia="Times New Roman" w:hAnsi="Arial" w:cs="Arial"/>
                <w:bCs/>
                <w:color w:val="000000"/>
                <w:sz w:val="20"/>
                <w:szCs w:val="20"/>
                <w:lang w:val="es-ES" w:eastAsia="es-ES"/>
              </w:rPr>
            </w:pPr>
            <w:r>
              <w:rPr>
                <w:rFonts w:ascii="Arial" w:hAnsi="Arial" w:cs="Arial"/>
                <w:bCs/>
                <w:color w:val="000000"/>
                <w:sz w:val="20"/>
                <w:szCs w:val="20"/>
              </w:rPr>
              <w:t>2 de marzo de 1987</w:t>
            </w:r>
          </w:p>
        </w:tc>
        <w:tc>
          <w:tcPr>
            <w:tcW w:w="2447" w:type="dxa"/>
            <w:tcBorders>
              <w:top w:val="single" w:sz="8" w:space="0" w:color="000000"/>
              <w:left w:val="single" w:sz="8" w:space="0" w:color="auto"/>
              <w:bottom w:val="single" w:sz="8" w:space="0" w:color="000000"/>
              <w:right w:val="single" w:sz="8" w:space="0" w:color="auto"/>
            </w:tcBorders>
            <w:hideMark/>
          </w:tcPr>
          <w:p w:rsidR="00837D14" w:rsidRDefault="00837D14">
            <w:pPr>
              <w:spacing w:after="200"/>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837D14" w:rsidRDefault="00837D14">
            <w:pPr>
              <w:spacing w:after="200"/>
              <w:ind w:left="62"/>
              <w:rPr>
                <w:rFonts w:ascii="Arial" w:eastAsia="Times New Roman" w:hAnsi="Arial" w:cs="Arial"/>
                <w:bCs/>
                <w:color w:val="000000"/>
                <w:sz w:val="20"/>
                <w:szCs w:val="20"/>
                <w:lang w:val="es-ES" w:eastAsia="es-ES"/>
              </w:rPr>
            </w:pPr>
            <w:r>
              <w:rPr>
                <w:rFonts w:ascii="Arial" w:hAnsi="Arial" w:cs="Arial"/>
                <w:bCs/>
                <w:color w:val="000000"/>
                <w:sz w:val="20"/>
                <w:szCs w:val="20"/>
              </w:rPr>
              <w:t>10</w:t>
            </w:r>
          </w:p>
        </w:tc>
      </w:tr>
      <w:tr w:rsidR="00837D14" w:rsidTr="00837D1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37D14" w:rsidRDefault="00837D14">
            <w:pPr>
              <w:spacing w:after="200"/>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837D14" w:rsidTr="00837D1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37D14" w:rsidRDefault="00837D14">
            <w:pPr>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837D14">
              <w:rPr>
                <w:rFonts w:ascii="Arial" w:hAnsi="Arial" w:cs="Arial"/>
                <w:bCs/>
                <w:color w:val="000000"/>
                <w:sz w:val="20"/>
                <w:szCs w:val="20"/>
              </w:rPr>
              <w:t>Fernando Carter Vargas</w:t>
            </w:r>
          </w:p>
        </w:tc>
      </w:tr>
      <w:tr w:rsidR="00837D14" w:rsidTr="00837D1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37D14" w:rsidRPr="00837D14" w:rsidRDefault="00837D14">
            <w:pPr>
              <w:rPr>
                <w:rFonts w:ascii="Arial" w:hAnsi="Arial" w:cs="Arial"/>
                <w:bCs/>
                <w:color w:val="000000"/>
                <w:sz w:val="20"/>
                <w:szCs w:val="20"/>
              </w:rPr>
            </w:pPr>
            <w:r>
              <w:rPr>
                <w:rFonts w:ascii="Arial" w:hAnsi="Arial" w:cs="Arial"/>
                <w:b/>
                <w:bCs/>
                <w:color w:val="000000"/>
                <w:sz w:val="20"/>
                <w:szCs w:val="20"/>
              </w:rPr>
              <w:t>Tutelado:</w:t>
            </w:r>
            <w:r>
              <w:rPr>
                <w:rFonts w:ascii="Arial" w:hAnsi="Arial" w:cs="Arial"/>
                <w:bCs/>
                <w:color w:val="000000"/>
                <w:sz w:val="20"/>
                <w:szCs w:val="20"/>
              </w:rPr>
              <w:t xml:space="preserve"> John Gregory </w:t>
            </w:r>
            <w:proofErr w:type="spellStart"/>
            <w:r>
              <w:rPr>
                <w:rFonts w:ascii="Arial" w:hAnsi="Arial" w:cs="Arial"/>
                <w:bCs/>
                <w:color w:val="000000"/>
                <w:sz w:val="20"/>
                <w:szCs w:val="20"/>
              </w:rPr>
              <w:t>Berry</w:t>
            </w:r>
            <w:proofErr w:type="spellEnd"/>
          </w:p>
        </w:tc>
      </w:tr>
      <w:tr w:rsidR="00837D14" w:rsidTr="00837D1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7D14" w:rsidRDefault="00837D14" w:rsidP="00837D14">
            <w:pPr>
              <w:spacing w:before="100" w:after="100"/>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Juez Primero Penal de San José</w:t>
            </w:r>
          </w:p>
        </w:tc>
      </w:tr>
      <w:tr w:rsidR="00837D14" w:rsidTr="00837D1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7D14" w:rsidRDefault="00837D14" w:rsidP="00837D14">
            <w:pPr>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la extradición del tutelado, aduciendo que se basa en motivos ilegítimos.</w:t>
            </w:r>
          </w:p>
        </w:tc>
      </w:tr>
      <w:tr w:rsidR="00837D14" w:rsidTr="00837D1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7D14" w:rsidRDefault="00837D14" w:rsidP="00837D14">
            <w:pPr>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extradición fue dictada en apego a la normativa aplicable.</w:t>
            </w:r>
          </w:p>
        </w:tc>
      </w:tr>
      <w:tr w:rsidR="00837D14" w:rsidTr="00837D14">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7D14" w:rsidRDefault="00837D14">
            <w:pPr>
              <w:spacing w:after="200"/>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37D14" w:rsidRDefault="00837D14" w:rsidP="009F7359">
            <w:pPr>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w:t>
            </w:r>
            <w:r w:rsidR="009F7359">
              <w:rPr>
                <w:rFonts w:ascii="Arial" w:eastAsia="Times New Roman" w:hAnsi="Arial" w:cs="Arial"/>
                <w:color w:val="000000"/>
                <w:sz w:val="20"/>
                <w:szCs w:val="20"/>
                <w:lang w:eastAsia="es-ES"/>
              </w:rPr>
              <w:t>no es materia de HC)</w:t>
            </w:r>
            <w:r>
              <w:rPr>
                <w:rFonts w:ascii="Arial" w:hAnsi="Arial" w:cs="Arial"/>
                <w:bCs/>
                <w:color w:val="000000"/>
                <w:sz w:val="20"/>
                <w:szCs w:val="20"/>
              </w:rPr>
              <w:t>.</w:t>
            </w:r>
          </w:p>
        </w:tc>
      </w:tr>
    </w:tbl>
    <w:p w:rsidR="00837D14" w:rsidRDefault="00837D14" w:rsidP="00390752">
      <w:pPr>
        <w:spacing w:after="0" w:line="360" w:lineRule="auto"/>
        <w:jc w:val="center"/>
        <w:rPr>
          <w:rFonts w:ascii="Times New Roman" w:eastAsia="Times New Roman" w:hAnsi="Times New Roman" w:cs="Times New Roman"/>
          <w:b/>
          <w:bCs/>
          <w:sz w:val="28"/>
          <w:szCs w:val="28"/>
          <w:lang w:eastAsia="es-ES"/>
        </w:rPr>
      </w:pPr>
    </w:p>
    <w:p w:rsidR="00390752" w:rsidRDefault="00390752" w:rsidP="00390752">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10</w:t>
      </w:r>
    </w:p>
    <w:p w:rsidR="00390752" w:rsidRDefault="00390752" w:rsidP="00390752">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390752" w:rsidRDefault="00390752" w:rsidP="0039075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w:t>
      </w:r>
      <w:r w:rsidR="00457A53">
        <w:rPr>
          <w:rFonts w:ascii="Times New Roman" w:eastAsia="Times New Roman" w:hAnsi="Times New Roman" w:cs="Times New Roman"/>
          <w:b/>
          <w:sz w:val="28"/>
          <w:szCs w:val="28"/>
          <w:lang w:eastAsia="es-ES"/>
        </w:rPr>
        <w:t>dos de marzo</w:t>
      </w:r>
      <w:bookmarkStart w:id="0" w:name="_GoBack"/>
      <w:bookmarkEnd w:id="0"/>
      <w:r w:rsidR="00837D14">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b/>
          <w:sz w:val="28"/>
          <w:szCs w:val="28"/>
          <w:lang w:eastAsia="es-ES"/>
        </w:rPr>
        <w:t>de mil novecientos ochenta y siete</w:t>
      </w:r>
      <w:r>
        <w:rPr>
          <w:rFonts w:ascii="Times New Roman" w:eastAsia="Times New Roman" w:hAnsi="Times New Roman" w:cs="Times New Roman"/>
          <w:sz w:val="28"/>
          <w:szCs w:val="28"/>
          <w:lang w:eastAsia="es-ES"/>
        </w:rPr>
        <w:t xml:space="preserve">, con asistencia inicial de los señores Magistrados Coto, quien preside, Arroyo, Cervantes, Chacón, Arias, Rodríguez, Zamora, Fernández, Arce, </w:t>
      </w:r>
      <w:proofErr w:type="spellStart"/>
      <w:r>
        <w:rPr>
          <w:rFonts w:ascii="Times New Roman" w:eastAsia="Times New Roman" w:hAnsi="Times New Roman" w:cs="Times New Roman"/>
          <w:sz w:val="28"/>
          <w:szCs w:val="28"/>
          <w:lang w:eastAsia="es-ES"/>
        </w:rPr>
        <w:t>Ching</w:t>
      </w:r>
      <w:proofErr w:type="spellEnd"/>
      <w:r>
        <w:rPr>
          <w:rFonts w:ascii="Times New Roman" w:eastAsia="Times New Roman" w:hAnsi="Times New Roman" w:cs="Times New Roman"/>
          <w:sz w:val="28"/>
          <w:szCs w:val="28"/>
          <w:lang w:eastAsia="es-ES"/>
        </w:rPr>
        <w:t xml:space="preserve"> Carvajal, Ramírez, Guzmán, </w:t>
      </w:r>
      <w:proofErr w:type="spellStart"/>
      <w:r>
        <w:rPr>
          <w:rFonts w:ascii="Times New Roman" w:eastAsia="Times New Roman" w:hAnsi="Times New Roman" w:cs="Times New Roman"/>
          <w:sz w:val="28"/>
          <w:szCs w:val="28"/>
          <w:lang w:eastAsia="es-ES"/>
        </w:rPr>
        <w:t>Houed</w:t>
      </w:r>
      <w:proofErr w:type="spellEnd"/>
      <w:r>
        <w:rPr>
          <w:rFonts w:ascii="Times New Roman" w:eastAsia="Times New Roman" w:hAnsi="Times New Roman" w:cs="Times New Roman"/>
          <w:sz w:val="28"/>
          <w:szCs w:val="28"/>
          <w:lang w:eastAsia="es-ES"/>
        </w:rPr>
        <w:t xml:space="preserve">, Gamboa y </w:t>
      </w:r>
      <w:r w:rsidR="00837D14">
        <w:rPr>
          <w:rFonts w:ascii="Times New Roman" w:eastAsia="Times New Roman" w:hAnsi="Times New Roman" w:cs="Times New Roman"/>
          <w:sz w:val="28"/>
          <w:szCs w:val="28"/>
          <w:lang w:eastAsia="es-ES"/>
        </w:rPr>
        <w:t>González</w:t>
      </w:r>
      <w:r>
        <w:rPr>
          <w:rFonts w:ascii="Times New Roman" w:eastAsia="Times New Roman" w:hAnsi="Times New Roman" w:cs="Times New Roman"/>
          <w:sz w:val="28"/>
          <w:szCs w:val="28"/>
          <w:lang w:eastAsia="es-ES"/>
        </w:rPr>
        <w:t>.</w:t>
      </w:r>
    </w:p>
    <w:p w:rsidR="00390752" w:rsidRDefault="00390752" w:rsidP="00390752">
      <w:pPr>
        <w:spacing w:line="360" w:lineRule="auto"/>
        <w:jc w:val="both"/>
        <w:rPr>
          <w:rFonts w:ascii="Times New Roman" w:eastAsia="Times New Roman" w:hAnsi="Times New Roman" w:cs="Times New Roman"/>
          <w:sz w:val="28"/>
          <w:szCs w:val="28"/>
          <w:lang w:eastAsia="es-ES"/>
        </w:rPr>
      </w:pPr>
    </w:p>
    <w:p w:rsidR="00390752" w:rsidRDefault="00390752" w:rsidP="00390752">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w:t>
      </w:r>
      <w:r w:rsidR="00837D14">
        <w:rPr>
          <w:rFonts w:ascii="Times New Roman" w:eastAsia="Times New Roman" w:hAnsi="Times New Roman" w:cs="Times New Roman"/>
          <w:b/>
          <w:sz w:val="28"/>
          <w:szCs w:val="28"/>
          <w:lang w:eastAsia="es-ES"/>
        </w:rPr>
        <w:t>c</w:t>
      </w:r>
      <w:r>
        <w:rPr>
          <w:rFonts w:ascii="Times New Roman" w:eastAsia="Times New Roman" w:hAnsi="Times New Roman" w:cs="Times New Roman"/>
          <w:b/>
          <w:sz w:val="28"/>
          <w:szCs w:val="28"/>
          <w:lang w:eastAsia="es-ES"/>
        </w:rPr>
        <w:t>ulo VIII</w:t>
      </w:r>
    </w:p>
    <w:p w:rsidR="00390752" w:rsidRDefault="00390752" w:rsidP="0039075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un amplio escrito fechado el veintiséis de febrero anterior, el licenciado </w:t>
      </w:r>
      <w:r w:rsidR="00837D14" w:rsidRPr="00837D14">
        <w:rPr>
          <w:rFonts w:ascii="Times New Roman" w:eastAsia="Times New Roman" w:hAnsi="Times New Roman" w:cs="Times New Roman"/>
          <w:b/>
          <w:sz w:val="28"/>
          <w:szCs w:val="28"/>
          <w:lang w:eastAsia="es-ES"/>
        </w:rPr>
        <w:t>FERNANDO CARTER VARGAS</w:t>
      </w:r>
      <w:r w:rsidR="00837D1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planteó recurso de Hábeas Corpus en favor de </w:t>
      </w:r>
      <w:r>
        <w:rPr>
          <w:rFonts w:ascii="Times New Roman" w:eastAsia="Times New Roman" w:hAnsi="Times New Roman" w:cs="Times New Roman"/>
          <w:b/>
          <w:sz w:val="28"/>
          <w:szCs w:val="28"/>
          <w:lang w:eastAsia="es-ES"/>
        </w:rPr>
        <w:t>JOHN GREGORY BERRY</w:t>
      </w:r>
      <w:r>
        <w:rPr>
          <w:rFonts w:ascii="Times New Roman" w:eastAsia="Times New Roman" w:hAnsi="Times New Roman" w:cs="Times New Roman"/>
          <w:sz w:val="28"/>
          <w:szCs w:val="28"/>
          <w:lang w:eastAsia="es-ES"/>
        </w:rPr>
        <w:t xml:space="preserve">, conocido como Jack </w:t>
      </w:r>
      <w:proofErr w:type="spellStart"/>
      <w:r>
        <w:rPr>
          <w:rFonts w:ascii="Times New Roman" w:eastAsia="Times New Roman" w:hAnsi="Times New Roman" w:cs="Times New Roman"/>
          <w:sz w:val="28"/>
          <w:szCs w:val="28"/>
          <w:lang w:eastAsia="es-ES"/>
        </w:rPr>
        <w:t>Berry</w:t>
      </w:r>
      <w:proofErr w:type="spellEnd"/>
      <w:r>
        <w:rPr>
          <w:rFonts w:ascii="Times New Roman" w:eastAsia="Times New Roman" w:hAnsi="Times New Roman" w:cs="Times New Roman"/>
          <w:sz w:val="28"/>
          <w:szCs w:val="28"/>
          <w:lang w:eastAsia="es-ES"/>
        </w:rPr>
        <w:t xml:space="preserve">. Dice el recurrente </w:t>
      </w:r>
      <w:r w:rsidR="00E64BEE">
        <w:rPr>
          <w:rFonts w:ascii="Times New Roman" w:eastAsia="Times New Roman" w:hAnsi="Times New Roman" w:cs="Times New Roman"/>
          <w:sz w:val="28"/>
          <w:szCs w:val="28"/>
          <w:lang w:eastAsia="es-ES"/>
        </w:rPr>
        <w:t xml:space="preserve">que el señor </w:t>
      </w:r>
      <w:proofErr w:type="spellStart"/>
      <w:r w:rsidR="00E64BEE">
        <w:rPr>
          <w:rFonts w:ascii="Times New Roman" w:eastAsia="Times New Roman" w:hAnsi="Times New Roman" w:cs="Times New Roman"/>
          <w:sz w:val="28"/>
          <w:szCs w:val="28"/>
          <w:lang w:eastAsia="es-ES"/>
        </w:rPr>
        <w:t>Berry</w:t>
      </w:r>
      <w:proofErr w:type="spellEnd"/>
      <w:r w:rsidR="00E64BEE">
        <w:rPr>
          <w:rFonts w:ascii="Times New Roman" w:eastAsia="Times New Roman" w:hAnsi="Times New Roman" w:cs="Times New Roman"/>
          <w:sz w:val="28"/>
          <w:szCs w:val="28"/>
          <w:lang w:eastAsia="es-ES"/>
        </w:rPr>
        <w:t xml:space="preserve"> ingresó en el año 1984 como pensionado, y que luego de dos años de residencia en el país se presentó una solicitud de extradición en su contra por parte del gobierno de los Estados Unidos de América, que conoció el Juzgado Primero Penal de San José</w:t>
      </w:r>
      <w:r w:rsidR="00090A4B">
        <w:rPr>
          <w:rFonts w:ascii="Times New Roman" w:eastAsia="Times New Roman" w:hAnsi="Times New Roman" w:cs="Times New Roman"/>
          <w:sz w:val="28"/>
          <w:szCs w:val="28"/>
          <w:lang w:eastAsia="es-ES"/>
        </w:rPr>
        <w:t xml:space="preserve">, quien concedió la extradición; sin embargo, dice el licenciado Carter Vargas, en esas </w:t>
      </w:r>
      <w:r w:rsidR="00090A4B">
        <w:rPr>
          <w:rFonts w:ascii="Times New Roman" w:eastAsia="Times New Roman" w:hAnsi="Times New Roman" w:cs="Times New Roman"/>
          <w:sz w:val="28"/>
          <w:szCs w:val="28"/>
          <w:lang w:eastAsia="es-ES"/>
        </w:rPr>
        <w:lastRenderedPageBreak/>
        <w:t>diligencias “</w:t>
      </w:r>
      <w:r w:rsidR="00090A4B" w:rsidRPr="00837D14">
        <w:rPr>
          <w:rFonts w:ascii="Times New Roman" w:eastAsia="Times New Roman" w:hAnsi="Times New Roman" w:cs="Times New Roman"/>
          <w:i/>
          <w:sz w:val="28"/>
          <w:szCs w:val="28"/>
          <w:lang w:eastAsia="es-ES"/>
        </w:rPr>
        <w:t xml:space="preserve">no se presentó prueba alguna de la comisión del o de los delitos que se investigan, y en todo caso, de la supuesta participación del señor John Gregory </w:t>
      </w:r>
      <w:proofErr w:type="spellStart"/>
      <w:r w:rsidR="00090A4B" w:rsidRPr="00837D14">
        <w:rPr>
          <w:rFonts w:ascii="Times New Roman" w:eastAsia="Times New Roman" w:hAnsi="Times New Roman" w:cs="Times New Roman"/>
          <w:i/>
          <w:sz w:val="28"/>
          <w:szCs w:val="28"/>
          <w:lang w:eastAsia="es-ES"/>
        </w:rPr>
        <w:t>Berry</w:t>
      </w:r>
      <w:proofErr w:type="spellEnd"/>
      <w:r w:rsidR="00090A4B" w:rsidRPr="00837D14">
        <w:rPr>
          <w:rFonts w:ascii="Times New Roman" w:eastAsia="Times New Roman" w:hAnsi="Times New Roman" w:cs="Times New Roman"/>
          <w:i/>
          <w:sz w:val="28"/>
          <w:szCs w:val="28"/>
          <w:lang w:eastAsia="es-ES"/>
        </w:rPr>
        <w:t xml:space="preserve"> en los hechos criminosos que los funcionarios del Ministerio Público </w:t>
      </w:r>
      <w:r w:rsidR="0007579C" w:rsidRPr="00837D14">
        <w:rPr>
          <w:rFonts w:ascii="Times New Roman" w:eastAsia="Times New Roman" w:hAnsi="Times New Roman" w:cs="Times New Roman"/>
          <w:i/>
          <w:sz w:val="28"/>
          <w:szCs w:val="28"/>
          <w:lang w:eastAsia="es-ES"/>
        </w:rPr>
        <w:t xml:space="preserve">del país de origen del interesado le atribuyen a éste, pues la prueba aportada carece de validez por falta de un requisito indispensable para su legitimidad o eficacia ya que, reiterando lo expuesto sobre este particular, los documentos presentados en las diligencias de extradición no </w:t>
      </w:r>
      <w:r w:rsidR="00C2470B" w:rsidRPr="00837D14">
        <w:rPr>
          <w:rFonts w:ascii="Times New Roman" w:eastAsia="Times New Roman" w:hAnsi="Times New Roman" w:cs="Times New Roman"/>
          <w:i/>
          <w:sz w:val="28"/>
          <w:szCs w:val="28"/>
          <w:lang w:eastAsia="es-ES"/>
        </w:rPr>
        <w:t>fueron autenticados debidamente, ya que la firma del señor Cónsul de Costa Rica no lo fue, como es de rigor en estos casos, por el Ministerio de Relaciones Exteriores de este país</w:t>
      </w:r>
      <w:r w:rsidR="00C2470B">
        <w:rPr>
          <w:rFonts w:ascii="Times New Roman" w:eastAsia="Times New Roman" w:hAnsi="Times New Roman" w:cs="Times New Roman"/>
          <w:sz w:val="28"/>
          <w:szCs w:val="28"/>
          <w:lang w:eastAsia="es-ES"/>
        </w:rPr>
        <w:t xml:space="preserve">”. Aparte de otras alegaciones el licenciado Carter Vargas considera que por esos motivos la detención de su patrocinado resulta ilegal al tenor de lo que dispone el artículo 37 de la Constitución Política, pues nadie puede ser detenido sin un indicio comprobado de haber cometido un delito, y el presente caso los hechos que se atribuyen al señor </w:t>
      </w:r>
      <w:proofErr w:type="spellStart"/>
      <w:r w:rsidR="00C2470B">
        <w:rPr>
          <w:rFonts w:ascii="Times New Roman" w:eastAsia="Times New Roman" w:hAnsi="Times New Roman" w:cs="Times New Roman"/>
          <w:sz w:val="28"/>
          <w:szCs w:val="28"/>
          <w:lang w:eastAsia="es-ES"/>
        </w:rPr>
        <w:t>Berry</w:t>
      </w:r>
      <w:proofErr w:type="spellEnd"/>
      <w:r w:rsidR="00C2470B">
        <w:rPr>
          <w:rFonts w:ascii="Times New Roman" w:eastAsia="Times New Roman" w:hAnsi="Times New Roman" w:cs="Times New Roman"/>
          <w:sz w:val="28"/>
          <w:szCs w:val="28"/>
          <w:lang w:eastAsia="es-ES"/>
        </w:rPr>
        <w:t xml:space="preserve"> no se tipifican como tales por la legislación costarricense.</w:t>
      </w:r>
    </w:p>
    <w:p w:rsidR="00C2470B" w:rsidRDefault="00C2470B" w:rsidP="0039075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licenciado Francisco </w:t>
      </w:r>
      <w:proofErr w:type="spellStart"/>
      <w:r>
        <w:rPr>
          <w:rFonts w:ascii="Times New Roman" w:eastAsia="Times New Roman" w:hAnsi="Times New Roman" w:cs="Times New Roman"/>
          <w:sz w:val="28"/>
          <w:szCs w:val="28"/>
          <w:lang w:eastAsia="es-ES"/>
        </w:rPr>
        <w:t>Dall’Anesse</w:t>
      </w:r>
      <w:proofErr w:type="spellEnd"/>
      <w:r>
        <w:rPr>
          <w:rFonts w:ascii="Times New Roman" w:eastAsia="Times New Roman" w:hAnsi="Times New Roman" w:cs="Times New Roman"/>
          <w:sz w:val="28"/>
          <w:szCs w:val="28"/>
          <w:lang w:eastAsia="es-ES"/>
        </w:rPr>
        <w:t xml:space="preserve"> Ruiz, Juez Primero Penal de San José, informó que ese despacho por sentencia de las </w:t>
      </w:r>
      <w:r w:rsidR="00341579">
        <w:rPr>
          <w:rFonts w:ascii="Times New Roman" w:eastAsia="Times New Roman" w:hAnsi="Times New Roman" w:cs="Times New Roman"/>
          <w:sz w:val="28"/>
          <w:szCs w:val="28"/>
          <w:lang w:eastAsia="es-ES"/>
        </w:rPr>
        <w:t xml:space="preserve">siete y treinta horas del veinticuatro de diciembre del año pasado, concedió la extradición </w:t>
      </w:r>
      <w:r w:rsidR="003C03CA">
        <w:rPr>
          <w:rFonts w:ascii="Times New Roman" w:eastAsia="Times New Roman" w:hAnsi="Times New Roman" w:cs="Times New Roman"/>
          <w:sz w:val="28"/>
          <w:szCs w:val="28"/>
          <w:lang w:eastAsia="es-ES"/>
        </w:rPr>
        <w:t xml:space="preserve">del requerido, fallo que confirmó el Tribunal Superior Segundo Penal de San José, Sección Segunda, a las trece horas del cuatro de febrero último, de </w:t>
      </w:r>
      <w:r w:rsidR="00474466">
        <w:rPr>
          <w:rFonts w:ascii="Times New Roman" w:eastAsia="Times New Roman" w:hAnsi="Times New Roman" w:cs="Times New Roman"/>
          <w:sz w:val="28"/>
          <w:szCs w:val="28"/>
          <w:lang w:eastAsia="es-ES"/>
        </w:rPr>
        <w:t xml:space="preserve">manera que el señor </w:t>
      </w:r>
      <w:proofErr w:type="spellStart"/>
      <w:r w:rsidR="00474466">
        <w:rPr>
          <w:rFonts w:ascii="Times New Roman" w:eastAsia="Times New Roman" w:hAnsi="Times New Roman" w:cs="Times New Roman"/>
          <w:sz w:val="28"/>
          <w:szCs w:val="28"/>
          <w:lang w:eastAsia="es-ES"/>
        </w:rPr>
        <w:t>Berry</w:t>
      </w:r>
      <w:proofErr w:type="spellEnd"/>
      <w:r w:rsidR="00474466">
        <w:rPr>
          <w:rFonts w:ascii="Times New Roman" w:eastAsia="Times New Roman" w:hAnsi="Times New Roman" w:cs="Times New Roman"/>
          <w:sz w:val="28"/>
          <w:szCs w:val="28"/>
          <w:lang w:eastAsia="es-ES"/>
        </w:rPr>
        <w:t xml:space="preserve"> se encuentra detenido para garantizar físicamente su entrega al estado requirente. </w:t>
      </w:r>
    </w:p>
    <w:p w:rsidR="00390752" w:rsidRDefault="00474466" w:rsidP="00474466">
      <w:pPr>
        <w:spacing w:line="360" w:lineRule="auto"/>
        <w:jc w:val="both"/>
        <w:rPr>
          <w:rFonts w:ascii="Times New Roman" w:eastAsia="Times New Roman" w:hAnsi="Times New Roman" w:cs="Times New Roman"/>
          <w:b/>
          <w:sz w:val="28"/>
          <w:szCs w:val="28"/>
          <w:lang w:eastAsia="es-ES"/>
        </w:rPr>
      </w:pPr>
      <w:r>
        <w:rPr>
          <w:rFonts w:ascii="Times New Roman" w:eastAsia="Times New Roman" w:hAnsi="Times New Roman" w:cs="Times New Roman"/>
          <w:sz w:val="28"/>
          <w:szCs w:val="28"/>
          <w:lang w:eastAsia="es-ES"/>
        </w:rPr>
        <w:t xml:space="preserve">Previa deliberación, se acordó: Declarar sin lugar el Hábeas Corpus, pues la detención del señor </w:t>
      </w:r>
      <w:proofErr w:type="spellStart"/>
      <w:r>
        <w:rPr>
          <w:rFonts w:ascii="Times New Roman" w:eastAsia="Times New Roman" w:hAnsi="Times New Roman" w:cs="Times New Roman"/>
          <w:sz w:val="28"/>
          <w:szCs w:val="28"/>
          <w:lang w:eastAsia="es-ES"/>
        </w:rPr>
        <w:t>Berry</w:t>
      </w:r>
      <w:proofErr w:type="spellEnd"/>
      <w:r>
        <w:rPr>
          <w:rFonts w:ascii="Times New Roman" w:eastAsia="Times New Roman" w:hAnsi="Times New Roman" w:cs="Times New Roman"/>
          <w:sz w:val="28"/>
          <w:szCs w:val="28"/>
          <w:lang w:eastAsia="es-ES"/>
        </w:rPr>
        <w:t xml:space="preserve"> tiene fundamento en el artículo 11 de la Ley de Extradición, en virtud de que el Juzgado Primero Penal de San José concedió su extradición a solicitud del Gobierno de los Estados Unidos de América, por </w:t>
      </w:r>
      <w:r>
        <w:rPr>
          <w:rFonts w:ascii="Times New Roman" w:eastAsia="Times New Roman" w:hAnsi="Times New Roman" w:cs="Times New Roman"/>
          <w:sz w:val="28"/>
          <w:szCs w:val="28"/>
          <w:lang w:eastAsia="es-ES"/>
        </w:rPr>
        <w:lastRenderedPageBreak/>
        <w:t>lo que esa circunstancia no puede ilegítima la privación de su libertad. Nótese, por lo demás, que no corresponde examinar en la vía del Hábeas Corpus las alegaciones en que el recurrente apoy</w:t>
      </w:r>
      <w:r w:rsidR="00837D14">
        <w:rPr>
          <w:rFonts w:ascii="Times New Roman" w:eastAsia="Times New Roman" w:hAnsi="Times New Roman" w:cs="Times New Roman"/>
          <w:sz w:val="28"/>
          <w:szCs w:val="28"/>
          <w:lang w:eastAsia="es-ES"/>
        </w:rPr>
        <w:t>ó</w:t>
      </w:r>
      <w:r>
        <w:rPr>
          <w:rFonts w:ascii="Times New Roman" w:eastAsia="Times New Roman" w:hAnsi="Times New Roman" w:cs="Times New Roman"/>
          <w:sz w:val="28"/>
          <w:szCs w:val="28"/>
          <w:lang w:eastAsia="es-ES"/>
        </w:rPr>
        <w:t xml:space="preserve"> el recurso.</w:t>
      </w:r>
    </w:p>
    <w:p w:rsidR="00390752" w:rsidRDefault="005B3F4E" w:rsidP="005B3F4E">
      <w:pPr>
        <w:tabs>
          <w:tab w:val="left" w:pos="5774"/>
        </w:tabs>
        <w:spacing w:line="360" w:lineRule="auto"/>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b/>
      </w:r>
    </w:p>
    <w:p w:rsidR="00C62E06" w:rsidRDefault="00C62E06"/>
    <w:sectPr w:rsidR="00C62E06" w:rsidSect="003210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08"/>
  <w:hyphenationZone w:val="425"/>
  <w:characterSpacingControl w:val="doNotCompress"/>
  <w:compat/>
  <w:rsids>
    <w:rsidRoot w:val="00B20D83"/>
    <w:rsid w:val="0007579C"/>
    <w:rsid w:val="00090A4B"/>
    <w:rsid w:val="00321060"/>
    <w:rsid w:val="00341579"/>
    <w:rsid w:val="00390752"/>
    <w:rsid w:val="003C03CA"/>
    <w:rsid w:val="00457A53"/>
    <w:rsid w:val="00474466"/>
    <w:rsid w:val="005B3F4E"/>
    <w:rsid w:val="00837D14"/>
    <w:rsid w:val="00986840"/>
    <w:rsid w:val="009F01E4"/>
    <w:rsid w:val="009F7359"/>
    <w:rsid w:val="00B20D83"/>
    <w:rsid w:val="00C2470B"/>
    <w:rsid w:val="00C62E06"/>
    <w:rsid w:val="00DC25DA"/>
    <w:rsid w:val="00E64BE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2"/>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cpineda</cp:lastModifiedBy>
  <cp:revision>9</cp:revision>
  <dcterms:created xsi:type="dcterms:W3CDTF">2017-10-05T16:44:00Z</dcterms:created>
  <dcterms:modified xsi:type="dcterms:W3CDTF">2018-12-20T14:57:00Z</dcterms:modified>
</cp:coreProperties>
</file>