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8" w:type="dxa"/>
        <w:tblInd w:w="232" w:type="dxa"/>
        <w:tblCellMar>
          <w:left w:w="0" w:type="dxa"/>
          <w:right w:w="0" w:type="dxa"/>
        </w:tblCellMar>
        <w:tblLook w:val="0000"/>
      </w:tblPr>
      <w:tblGrid>
        <w:gridCol w:w="1861"/>
        <w:gridCol w:w="464"/>
        <w:gridCol w:w="2413"/>
        <w:gridCol w:w="2447"/>
        <w:gridCol w:w="1923"/>
      </w:tblGrid>
      <w:tr w:rsidR="00E94807" w:rsidRPr="00224B2E" w:rsidTr="00DF66B8">
        <w:tc>
          <w:tcPr>
            <w:tcW w:w="18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4807" w:rsidRPr="00224B2E" w:rsidRDefault="00E94807" w:rsidP="00DF66B8">
            <w:pPr>
              <w:spacing w:after="200"/>
              <w:rPr>
                <w:rFonts w:ascii="Arial" w:hAnsi="Arial" w:cs="Arial"/>
                <w:b/>
                <w:bCs/>
                <w:color w:val="000000"/>
                <w:sz w:val="20"/>
                <w:szCs w:val="20"/>
              </w:rPr>
            </w:pPr>
            <w:r>
              <w:rPr>
                <w:rFonts w:ascii="Arial" w:hAnsi="Arial" w:cs="Arial"/>
                <w:b/>
                <w:bCs/>
                <w:color w:val="000000"/>
                <w:sz w:val="20"/>
                <w:szCs w:val="20"/>
              </w:rPr>
              <w:t>Fecha</w:t>
            </w:r>
          </w:p>
        </w:tc>
        <w:tc>
          <w:tcPr>
            <w:tcW w:w="2877" w:type="dxa"/>
            <w:gridSpan w:val="2"/>
            <w:tcBorders>
              <w:top w:val="single" w:sz="8" w:space="0" w:color="000000"/>
              <w:left w:val="nil"/>
              <w:bottom w:val="single" w:sz="8" w:space="0" w:color="000000"/>
              <w:right w:val="single" w:sz="8" w:space="0" w:color="auto"/>
            </w:tcBorders>
            <w:tcMar>
              <w:top w:w="0" w:type="dxa"/>
              <w:left w:w="108" w:type="dxa"/>
              <w:bottom w:w="0" w:type="dxa"/>
              <w:right w:w="108" w:type="dxa"/>
            </w:tcMar>
          </w:tcPr>
          <w:p w:rsidR="00E94807" w:rsidRPr="00935B4B" w:rsidRDefault="00E94807" w:rsidP="00E94807">
            <w:pPr>
              <w:spacing w:after="200"/>
              <w:rPr>
                <w:rFonts w:ascii="Arial" w:hAnsi="Arial" w:cs="Arial"/>
                <w:bCs/>
                <w:color w:val="000000"/>
                <w:sz w:val="20"/>
                <w:szCs w:val="20"/>
              </w:rPr>
            </w:pPr>
            <w:r>
              <w:rPr>
                <w:rFonts w:ascii="Arial" w:hAnsi="Arial" w:cs="Arial"/>
                <w:bCs/>
                <w:color w:val="000000"/>
                <w:sz w:val="20"/>
                <w:szCs w:val="20"/>
              </w:rPr>
              <w:t>9 y 13 de abril de 1987</w:t>
            </w:r>
          </w:p>
        </w:tc>
        <w:tc>
          <w:tcPr>
            <w:tcW w:w="2447" w:type="dxa"/>
            <w:tcBorders>
              <w:top w:val="single" w:sz="8" w:space="0" w:color="000000"/>
              <w:left w:val="single" w:sz="8" w:space="0" w:color="auto"/>
              <w:bottom w:val="single" w:sz="8" w:space="0" w:color="000000"/>
              <w:right w:val="single" w:sz="8" w:space="0" w:color="auto"/>
            </w:tcBorders>
          </w:tcPr>
          <w:p w:rsidR="00E94807" w:rsidRPr="00935B4B" w:rsidRDefault="00E94807" w:rsidP="00DF66B8">
            <w:pPr>
              <w:spacing w:after="200"/>
              <w:ind w:left="100"/>
              <w:rPr>
                <w:rFonts w:ascii="Arial" w:hAnsi="Arial" w:cs="Arial"/>
                <w:bCs/>
                <w:color w:val="000000"/>
                <w:sz w:val="20"/>
                <w:szCs w:val="20"/>
              </w:rPr>
            </w:pPr>
            <w:r>
              <w:rPr>
                <w:rFonts w:ascii="Arial" w:hAnsi="Arial" w:cs="Arial"/>
                <w:b/>
                <w:bCs/>
                <w:color w:val="000000"/>
                <w:sz w:val="20"/>
                <w:szCs w:val="20"/>
              </w:rPr>
              <w:t>Sesión número</w:t>
            </w:r>
          </w:p>
        </w:tc>
        <w:tc>
          <w:tcPr>
            <w:tcW w:w="1923" w:type="dxa"/>
            <w:tcBorders>
              <w:top w:val="single" w:sz="8" w:space="0" w:color="000000"/>
              <w:left w:val="single" w:sz="8" w:space="0" w:color="auto"/>
              <w:bottom w:val="single" w:sz="8" w:space="0" w:color="000000"/>
              <w:right w:val="single" w:sz="8" w:space="0" w:color="000000"/>
            </w:tcBorders>
          </w:tcPr>
          <w:p w:rsidR="00E94807" w:rsidRPr="00935B4B" w:rsidRDefault="00E94807" w:rsidP="00DF66B8">
            <w:pPr>
              <w:spacing w:after="200"/>
              <w:ind w:left="62"/>
              <w:rPr>
                <w:rFonts w:ascii="Arial" w:hAnsi="Arial" w:cs="Arial"/>
                <w:bCs/>
                <w:color w:val="000000"/>
                <w:sz w:val="20"/>
                <w:szCs w:val="20"/>
              </w:rPr>
            </w:pPr>
            <w:r>
              <w:rPr>
                <w:rFonts w:ascii="Arial" w:hAnsi="Arial" w:cs="Arial"/>
                <w:bCs/>
                <w:color w:val="000000"/>
                <w:sz w:val="20"/>
                <w:szCs w:val="20"/>
              </w:rPr>
              <w:t>22, 23</w:t>
            </w:r>
          </w:p>
        </w:tc>
      </w:tr>
      <w:tr w:rsidR="00E94807" w:rsidRPr="00224B2E" w:rsidTr="00DF66B8">
        <w:tc>
          <w:tcPr>
            <w:tcW w:w="9108"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tcPr>
          <w:p w:rsidR="00E94807" w:rsidRPr="00224B2E" w:rsidRDefault="00E94807" w:rsidP="00DF66B8">
            <w:pPr>
              <w:spacing w:after="200"/>
              <w:rPr>
                <w:rFonts w:ascii="Arial" w:hAnsi="Arial" w:cs="Arial"/>
                <w:color w:val="000000"/>
                <w:sz w:val="20"/>
                <w:szCs w:val="20"/>
              </w:rPr>
            </w:pPr>
            <w:r w:rsidRPr="001B5647">
              <w:rPr>
                <w:rFonts w:ascii="Arial" w:hAnsi="Arial" w:cs="Arial"/>
                <w:b/>
                <w:color w:val="000000"/>
                <w:sz w:val="20"/>
                <w:szCs w:val="20"/>
              </w:rPr>
              <w:t>Motivo:</w:t>
            </w:r>
            <w:r>
              <w:rPr>
                <w:rFonts w:ascii="Arial" w:hAnsi="Arial" w:cs="Arial"/>
                <w:color w:val="000000"/>
                <w:sz w:val="20"/>
                <w:szCs w:val="20"/>
              </w:rPr>
              <w:t xml:space="preserve"> Habeas Corpus</w:t>
            </w:r>
          </w:p>
        </w:tc>
      </w:tr>
      <w:tr w:rsidR="00E94807" w:rsidRPr="000641FB" w:rsidTr="00DF66B8">
        <w:tc>
          <w:tcPr>
            <w:tcW w:w="9108"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tcPr>
          <w:p w:rsidR="00E94807" w:rsidRPr="000641FB" w:rsidRDefault="00E94807" w:rsidP="00DF66B8">
            <w:pPr>
              <w:spacing w:after="200"/>
              <w:rPr>
                <w:rFonts w:ascii="Arial" w:hAnsi="Arial" w:cs="Arial"/>
                <w:b/>
                <w:bCs/>
                <w:color w:val="000000"/>
                <w:sz w:val="20"/>
                <w:szCs w:val="20"/>
              </w:rPr>
            </w:pPr>
            <w:r w:rsidRPr="000641FB">
              <w:rPr>
                <w:rFonts w:ascii="Arial" w:hAnsi="Arial" w:cs="Arial"/>
                <w:b/>
                <w:bCs/>
                <w:color w:val="000000"/>
                <w:sz w:val="20"/>
                <w:szCs w:val="20"/>
              </w:rPr>
              <w:t>Recurrente</w:t>
            </w:r>
            <w:r w:rsidRPr="000641FB">
              <w:rPr>
                <w:rFonts w:ascii="Arial" w:hAnsi="Arial" w:cs="Arial"/>
                <w:color w:val="000000"/>
                <w:sz w:val="20"/>
                <w:szCs w:val="20"/>
              </w:rPr>
              <w:t>:</w:t>
            </w:r>
            <w:r>
              <w:rPr>
                <w:rFonts w:ascii="Arial" w:hAnsi="Arial" w:cs="Arial"/>
                <w:color w:val="000000"/>
                <w:sz w:val="20"/>
                <w:szCs w:val="20"/>
              </w:rPr>
              <w:t xml:space="preserve"> </w:t>
            </w:r>
            <w:r w:rsidRPr="00E94807">
              <w:rPr>
                <w:rFonts w:ascii="Arial" w:hAnsi="Arial" w:cs="Arial"/>
                <w:bCs/>
                <w:color w:val="000000"/>
                <w:sz w:val="20"/>
                <w:szCs w:val="20"/>
              </w:rPr>
              <w:t>Irene Lobo Hernández</w:t>
            </w:r>
          </w:p>
        </w:tc>
      </w:tr>
      <w:tr w:rsidR="00E94807" w:rsidRPr="000641FB" w:rsidTr="00DF66B8">
        <w:tc>
          <w:tcPr>
            <w:tcW w:w="9108"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tcPr>
          <w:p w:rsidR="00E94807" w:rsidRPr="00E94807" w:rsidRDefault="00E94807" w:rsidP="00DF66B8">
            <w:pPr>
              <w:spacing w:after="200"/>
              <w:rPr>
                <w:rFonts w:ascii="Arial" w:hAnsi="Arial" w:cs="Arial"/>
                <w:bCs/>
                <w:color w:val="000000"/>
                <w:sz w:val="20"/>
                <w:szCs w:val="20"/>
              </w:rPr>
            </w:pPr>
            <w:r>
              <w:rPr>
                <w:rFonts w:ascii="Arial" w:hAnsi="Arial" w:cs="Arial"/>
                <w:b/>
                <w:bCs/>
                <w:color w:val="000000"/>
                <w:sz w:val="20"/>
                <w:szCs w:val="20"/>
              </w:rPr>
              <w:t>Tutelado:</w:t>
            </w:r>
            <w:r>
              <w:rPr>
                <w:rFonts w:ascii="Arial" w:hAnsi="Arial" w:cs="Arial"/>
                <w:bCs/>
                <w:color w:val="000000"/>
                <w:sz w:val="20"/>
                <w:szCs w:val="20"/>
              </w:rPr>
              <w:t xml:space="preserve"> </w:t>
            </w:r>
            <w:r w:rsidRPr="00E94807">
              <w:rPr>
                <w:rFonts w:ascii="Arial" w:hAnsi="Arial" w:cs="Arial"/>
                <w:bCs/>
                <w:color w:val="000000"/>
                <w:sz w:val="20"/>
                <w:szCs w:val="20"/>
              </w:rPr>
              <w:t>Bohdan Koziy</w:t>
            </w:r>
          </w:p>
        </w:tc>
      </w:tr>
      <w:tr w:rsidR="00E94807" w:rsidRPr="00224B2E" w:rsidTr="00DF66B8">
        <w:tc>
          <w:tcPr>
            <w:tcW w:w="9108"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94807" w:rsidRPr="005B63B7" w:rsidRDefault="00E94807" w:rsidP="00E94807">
            <w:pPr>
              <w:spacing w:before="100" w:after="100"/>
              <w:jc w:val="both"/>
              <w:rPr>
                <w:rFonts w:ascii="Arial" w:hAnsi="Arial" w:cs="Arial"/>
                <w:bCs/>
                <w:color w:val="000000"/>
                <w:sz w:val="20"/>
                <w:szCs w:val="20"/>
              </w:rPr>
            </w:pPr>
            <w:r w:rsidRPr="00224B2E">
              <w:rPr>
                <w:rFonts w:ascii="Arial" w:hAnsi="Arial" w:cs="Arial"/>
                <w:b/>
                <w:bCs/>
                <w:color w:val="000000"/>
                <w:sz w:val="20"/>
                <w:szCs w:val="20"/>
              </w:rPr>
              <w:t>Recurrid</w:t>
            </w:r>
            <w:r>
              <w:rPr>
                <w:rFonts w:ascii="Arial" w:hAnsi="Arial" w:cs="Arial"/>
                <w:b/>
                <w:bCs/>
                <w:color w:val="000000"/>
                <w:sz w:val="20"/>
                <w:szCs w:val="20"/>
              </w:rPr>
              <w:t xml:space="preserve">o: </w:t>
            </w:r>
            <w:r>
              <w:rPr>
                <w:rFonts w:ascii="Arial" w:hAnsi="Arial" w:cs="Arial"/>
                <w:bCs/>
                <w:color w:val="000000"/>
                <w:sz w:val="20"/>
                <w:szCs w:val="20"/>
              </w:rPr>
              <w:t>Juzgado Primero Penal de Alajuela</w:t>
            </w:r>
          </w:p>
        </w:tc>
      </w:tr>
      <w:tr w:rsidR="00E94807" w:rsidRPr="00224B2E" w:rsidTr="00DF66B8">
        <w:tc>
          <w:tcPr>
            <w:tcW w:w="9108"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94807" w:rsidRPr="00224B2E" w:rsidRDefault="00E94807" w:rsidP="00E94807">
            <w:pPr>
              <w:jc w:val="both"/>
              <w:rPr>
                <w:rFonts w:ascii="Arial" w:hAnsi="Arial" w:cs="Arial"/>
                <w:color w:val="000000"/>
                <w:sz w:val="20"/>
                <w:szCs w:val="20"/>
              </w:rPr>
            </w:pPr>
            <w:r w:rsidRPr="00224B2E">
              <w:rPr>
                <w:rFonts w:ascii="Arial" w:hAnsi="Arial" w:cs="Arial"/>
                <w:b/>
                <w:bCs/>
                <w:color w:val="000000"/>
                <w:sz w:val="20"/>
                <w:szCs w:val="20"/>
              </w:rPr>
              <w:t xml:space="preserve">Objeto </w:t>
            </w:r>
            <w:r>
              <w:rPr>
                <w:rFonts w:ascii="Arial" w:hAnsi="Arial" w:cs="Arial"/>
                <w:b/>
                <w:bCs/>
                <w:color w:val="000000"/>
                <w:sz w:val="20"/>
                <w:szCs w:val="20"/>
              </w:rPr>
              <w:t>del recurso</w:t>
            </w:r>
            <w:r w:rsidRPr="00224B2E">
              <w:rPr>
                <w:rFonts w:ascii="Arial" w:hAnsi="Arial" w:cs="Arial"/>
                <w:color w:val="000000"/>
                <w:sz w:val="20"/>
                <w:szCs w:val="20"/>
              </w:rPr>
              <w:t>:</w:t>
            </w:r>
            <w:r>
              <w:rPr>
                <w:rFonts w:ascii="Arial" w:hAnsi="Arial" w:cs="Arial"/>
                <w:color w:val="000000"/>
                <w:sz w:val="20"/>
                <w:szCs w:val="20"/>
              </w:rPr>
              <w:t xml:space="preserve"> La recurrente impugna la detención y posible extradición del tutelado a la URSS, estimando que podría sentenciársele a muerte por crímenes de guerra.</w:t>
            </w:r>
          </w:p>
        </w:tc>
      </w:tr>
      <w:tr w:rsidR="00E94807" w:rsidRPr="00224B2E" w:rsidTr="00DF66B8">
        <w:tc>
          <w:tcPr>
            <w:tcW w:w="9108"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94807" w:rsidRPr="00AD323D" w:rsidRDefault="00E94807" w:rsidP="00E94807">
            <w:pPr>
              <w:jc w:val="both"/>
              <w:rPr>
                <w:rFonts w:ascii="Arial" w:hAnsi="Arial" w:cs="Arial"/>
                <w:bCs/>
                <w:color w:val="000000"/>
                <w:sz w:val="20"/>
                <w:szCs w:val="20"/>
              </w:rPr>
            </w:pPr>
            <w:r>
              <w:rPr>
                <w:rFonts w:ascii="Arial" w:hAnsi="Arial" w:cs="Arial"/>
                <w:b/>
                <w:bCs/>
                <w:color w:val="000000"/>
                <w:sz w:val="20"/>
                <w:szCs w:val="20"/>
              </w:rPr>
              <w:t>Respuesta del recurrido:</w:t>
            </w:r>
            <w:r>
              <w:rPr>
                <w:rFonts w:ascii="Arial" w:hAnsi="Arial" w:cs="Arial"/>
                <w:bCs/>
                <w:color w:val="000000"/>
                <w:sz w:val="20"/>
                <w:szCs w:val="20"/>
              </w:rPr>
              <w:t xml:space="preserve"> Contra el tutelado hay sentencia judicial que ordena la extradición, bajo los términos de la ley vigente y con el compromiso soviético de no aplicar la pena de muerte.</w:t>
            </w:r>
          </w:p>
        </w:tc>
      </w:tr>
      <w:tr w:rsidR="00E94807" w:rsidRPr="00224B2E" w:rsidTr="00DF66B8">
        <w:tc>
          <w:tcPr>
            <w:tcW w:w="232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94807" w:rsidRPr="00224B2E" w:rsidRDefault="00E94807" w:rsidP="00DF66B8">
            <w:pPr>
              <w:spacing w:after="200"/>
              <w:rPr>
                <w:rFonts w:ascii="Arial" w:hAnsi="Arial" w:cs="Arial"/>
                <w:b/>
                <w:bCs/>
                <w:color w:val="000000"/>
                <w:sz w:val="20"/>
                <w:szCs w:val="20"/>
              </w:rPr>
            </w:pPr>
            <w:r>
              <w:rPr>
                <w:rFonts w:ascii="Arial" w:hAnsi="Arial" w:cs="Arial"/>
                <w:b/>
                <w:bCs/>
                <w:color w:val="000000"/>
                <w:sz w:val="20"/>
                <w:szCs w:val="20"/>
              </w:rPr>
              <w:t>Parte dispositiva</w:t>
            </w:r>
          </w:p>
        </w:tc>
        <w:tc>
          <w:tcPr>
            <w:tcW w:w="6783" w:type="dxa"/>
            <w:gridSpan w:val="3"/>
            <w:tcBorders>
              <w:top w:val="nil"/>
              <w:left w:val="nil"/>
              <w:bottom w:val="single" w:sz="8" w:space="0" w:color="000000"/>
              <w:right w:val="single" w:sz="8" w:space="0" w:color="000000"/>
            </w:tcBorders>
            <w:tcMar>
              <w:top w:w="0" w:type="dxa"/>
              <w:left w:w="108" w:type="dxa"/>
              <w:bottom w:w="0" w:type="dxa"/>
              <w:right w:w="108" w:type="dxa"/>
            </w:tcMar>
          </w:tcPr>
          <w:p w:rsidR="00E94807" w:rsidRPr="00224B2E" w:rsidRDefault="00E94807" w:rsidP="00E94807">
            <w:pPr>
              <w:jc w:val="both"/>
              <w:rPr>
                <w:rFonts w:ascii="Arial" w:hAnsi="Arial" w:cs="Arial"/>
                <w:color w:val="000000"/>
                <w:sz w:val="20"/>
                <w:szCs w:val="20"/>
              </w:rPr>
            </w:pPr>
            <w:r>
              <w:rPr>
                <w:rFonts w:ascii="Arial" w:hAnsi="Arial" w:cs="Arial"/>
                <w:color w:val="000000"/>
                <w:sz w:val="20"/>
                <w:szCs w:val="20"/>
              </w:rPr>
              <w:t>Sin lugar (procedimiento justificado). El Magistrado Chacón da razones adicionales. VS del Magistrado Cervantes.</w:t>
            </w:r>
          </w:p>
        </w:tc>
      </w:tr>
    </w:tbl>
    <w:p w:rsidR="00E94807" w:rsidRDefault="00E94807" w:rsidP="00AD4725">
      <w:pPr>
        <w:spacing w:after="0" w:line="360" w:lineRule="auto"/>
        <w:jc w:val="center"/>
        <w:rPr>
          <w:rFonts w:ascii="Times New Roman" w:eastAsia="Times New Roman" w:hAnsi="Times New Roman" w:cs="Times New Roman"/>
          <w:b/>
          <w:bCs/>
          <w:sz w:val="28"/>
          <w:szCs w:val="28"/>
          <w:lang w:eastAsia="es-ES"/>
        </w:rPr>
      </w:pPr>
    </w:p>
    <w:p w:rsidR="00AD4725" w:rsidRDefault="00AD4725" w:rsidP="00AD4725">
      <w:pPr>
        <w:spacing w:after="0" w:line="360" w:lineRule="auto"/>
        <w:jc w:val="center"/>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Nº 22</w:t>
      </w:r>
    </w:p>
    <w:p w:rsidR="00AD4725" w:rsidRDefault="00AD4725" w:rsidP="00AD4725">
      <w:pPr>
        <w:tabs>
          <w:tab w:val="left" w:pos="3626"/>
        </w:tabs>
        <w:spacing w:after="0" w:line="360" w:lineRule="auto"/>
        <w:jc w:val="both"/>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ab/>
      </w:r>
    </w:p>
    <w:p w:rsidR="00AD4725" w:rsidRDefault="00AD4725" w:rsidP="00AD4725">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b/>
          <w:caps/>
          <w:sz w:val="28"/>
          <w:szCs w:val="28"/>
          <w:lang w:eastAsia="es-ES"/>
        </w:rPr>
        <w:t>Sesión extraordinaria de Corte Plena</w:t>
      </w:r>
      <w:r>
        <w:rPr>
          <w:rFonts w:ascii="Times New Roman" w:eastAsia="Times New Roman" w:hAnsi="Times New Roman" w:cs="Times New Roman"/>
          <w:b/>
          <w:sz w:val="28"/>
          <w:szCs w:val="28"/>
          <w:lang w:eastAsia="es-ES"/>
        </w:rPr>
        <w:t xml:space="preserve"> celebrada a las dieciséis horas del nueve de abril de mil novecientos ochenta y siete</w:t>
      </w:r>
      <w:r>
        <w:rPr>
          <w:rFonts w:ascii="Times New Roman" w:eastAsia="Times New Roman" w:hAnsi="Times New Roman" w:cs="Times New Roman"/>
          <w:sz w:val="28"/>
          <w:szCs w:val="28"/>
          <w:lang w:eastAsia="es-ES"/>
        </w:rPr>
        <w:t xml:space="preserve">, con asistencia inicial de los señores Magistrados Blanco (Presidente); Arroyo, Cervantes, Chacón, Arias, Rodríguez, Zamora, Arce, Ramírez, Guzmán, Houed, </w:t>
      </w:r>
      <w:r w:rsidR="00E94807">
        <w:rPr>
          <w:rFonts w:ascii="Times New Roman" w:eastAsia="Times New Roman" w:hAnsi="Times New Roman" w:cs="Times New Roman"/>
          <w:sz w:val="28"/>
          <w:szCs w:val="28"/>
          <w:lang w:eastAsia="es-ES"/>
        </w:rPr>
        <w:t>González</w:t>
      </w:r>
      <w:r>
        <w:rPr>
          <w:rFonts w:ascii="Times New Roman" w:eastAsia="Times New Roman" w:hAnsi="Times New Roman" w:cs="Times New Roman"/>
          <w:sz w:val="28"/>
          <w:szCs w:val="28"/>
          <w:lang w:eastAsia="es-ES"/>
        </w:rPr>
        <w:t xml:space="preserve"> y del Magistrado Suplente licenciado Virgilio Calvo Sánchez, que sustituye al Magistrado Coto que disfruta de permiso con goce de salario, por enfermedad.</w:t>
      </w:r>
    </w:p>
    <w:p w:rsidR="00AD4725" w:rsidRDefault="00AD4725" w:rsidP="00AD4725">
      <w:pPr>
        <w:spacing w:line="360" w:lineRule="auto"/>
        <w:jc w:val="both"/>
        <w:rPr>
          <w:rFonts w:ascii="Times New Roman" w:eastAsia="Times New Roman" w:hAnsi="Times New Roman" w:cs="Times New Roman"/>
          <w:sz w:val="28"/>
          <w:szCs w:val="28"/>
          <w:lang w:eastAsia="es-ES"/>
        </w:rPr>
      </w:pPr>
    </w:p>
    <w:p w:rsidR="00AD4725" w:rsidRDefault="005F76EA" w:rsidP="00AD4725">
      <w:pPr>
        <w:spacing w:line="360" w:lineRule="auto"/>
        <w:jc w:val="center"/>
        <w:rPr>
          <w:rFonts w:ascii="Times New Roman" w:eastAsia="Times New Roman" w:hAnsi="Times New Roman" w:cs="Times New Roman"/>
          <w:b/>
          <w:sz w:val="28"/>
          <w:szCs w:val="28"/>
          <w:lang w:eastAsia="es-ES"/>
        </w:rPr>
      </w:pPr>
      <w:r>
        <w:rPr>
          <w:rFonts w:ascii="Times New Roman" w:eastAsia="Times New Roman" w:hAnsi="Times New Roman" w:cs="Times New Roman"/>
          <w:b/>
          <w:sz w:val="28"/>
          <w:szCs w:val="28"/>
          <w:lang w:eastAsia="es-ES"/>
        </w:rPr>
        <w:t>Artículo I</w:t>
      </w:r>
    </w:p>
    <w:p w:rsidR="005F76EA" w:rsidRDefault="005F76EA" w:rsidP="005F76EA">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Se entra a conocer el recurso de Hábeas Corpus que la licenciada </w:t>
      </w:r>
      <w:r w:rsidR="00E04075" w:rsidRPr="00E04075">
        <w:rPr>
          <w:rFonts w:ascii="Times New Roman" w:eastAsia="Times New Roman" w:hAnsi="Times New Roman" w:cs="Times New Roman"/>
          <w:b/>
          <w:sz w:val="28"/>
          <w:szCs w:val="28"/>
          <w:lang w:eastAsia="es-ES"/>
        </w:rPr>
        <w:t>IRENE LOBO HERNÁNDEZ</w:t>
      </w:r>
      <w:r>
        <w:rPr>
          <w:rFonts w:ascii="Times New Roman" w:eastAsia="Times New Roman" w:hAnsi="Times New Roman" w:cs="Times New Roman"/>
          <w:sz w:val="28"/>
          <w:szCs w:val="28"/>
          <w:lang w:eastAsia="es-ES"/>
        </w:rPr>
        <w:t xml:space="preserve"> planteó en favor de </w:t>
      </w:r>
      <w:r>
        <w:rPr>
          <w:rFonts w:ascii="Times New Roman" w:eastAsia="Times New Roman" w:hAnsi="Times New Roman" w:cs="Times New Roman"/>
          <w:b/>
          <w:sz w:val="28"/>
          <w:szCs w:val="28"/>
          <w:lang w:eastAsia="es-ES"/>
        </w:rPr>
        <w:t>BOHDAN KOSIY</w:t>
      </w:r>
      <w:r>
        <w:rPr>
          <w:rFonts w:ascii="Times New Roman" w:eastAsia="Times New Roman" w:hAnsi="Times New Roman" w:cs="Times New Roman"/>
          <w:sz w:val="28"/>
          <w:szCs w:val="28"/>
          <w:lang w:eastAsia="es-ES"/>
        </w:rPr>
        <w:t xml:space="preserve">, y luego de que algunos de los señores Magistrados se refirieron al asunto, se dispuso posponer la decisión de ese Hábeas Corpus para la próxima sesión. </w:t>
      </w:r>
    </w:p>
    <w:p w:rsidR="00F42828" w:rsidRDefault="00F42828" w:rsidP="005F76EA">
      <w:pPr>
        <w:spacing w:line="360" w:lineRule="auto"/>
        <w:jc w:val="both"/>
        <w:rPr>
          <w:rFonts w:ascii="Times New Roman" w:eastAsia="Times New Roman" w:hAnsi="Times New Roman" w:cs="Times New Roman"/>
          <w:sz w:val="28"/>
          <w:szCs w:val="28"/>
          <w:lang w:eastAsia="es-ES"/>
        </w:rPr>
      </w:pPr>
    </w:p>
    <w:p w:rsidR="00F42828" w:rsidRDefault="00F42828" w:rsidP="00F42828">
      <w:pPr>
        <w:spacing w:line="360" w:lineRule="auto"/>
        <w:jc w:val="both"/>
        <w:rPr>
          <w:rFonts w:ascii="Times New Roman" w:eastAsia="Times New Roman" w:hAnsi="Times New Roman" w:cs="Times New Roman"/>
          <w:sz w:val="28"/>
          <w:szCs w:val="28"/>
          <w:lang w:eastAsia="es-ES"/>
        </w:rPr>
      </w:pPr>
    </w:p>
    <w:p w:rsidR="00C20033" w:rsidRDefault="00C20033" w:rsidP="00F42828">
      <w:pPr>
        <w:spacing w:line="360" w:lineRule="auto"/>
        <w:jc w:val="both"/>
        <w:rPr>
          <w:rFonts w:ascii="Times New Roman" w:eastAsia="Times New Roman" w:hAnsi="Times New Roman" w:cs="Times New Roman"/>
          <w:sz w:val="28"/>
          <w:szCs w:val="28"/>
          <w:lang w:eastAsia="es-ES"/>
        </w:rPr>
      </w:pPr>
    </w:p>
    <w:p w:rsidR="00C20033" w:rsidRDefault="00C20033" w:rsidP="00C20033">
      <w:pPr>
        <w:spacing w:after="0" w:line="360" w:lineRule="auto"/>
        <w:jc w:val="center"/>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Nº 23</w:t>
      </w:r>
    </w:p>
    <w:p w:rsidR="00C20033" w:rsidRDefault="00C20033" w:rsidP="00C20033">
      <w:pPr>
        <w:tabs>
          <w:tab w:val="left" w:pos="3626"/>
        </w:tabs>
        <w:spacing w:after="0" w:line="360" w:lineRule="auto"/>
        <w:jc w:val="both"/>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ab/>
      </w:r>
    </w:p>
    <w:p w:rsidR="00C20033" w:rsidRDefault="00C20033" w:rsidP="00C20033">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b/>
          <w:caps/>
          <w:sz w:val="28"/>
          <w:szCs w:val="28"/>
          <w:lang w:eastAsia="es-ES"/>
        </w:rPr>
        <w:t>Sesión ordinaria de Corte Plena</w:t>
      </w:r>
      <w:r>
        <w:rPr>
          <w:rFonts w:ascii="Times New Roman" w:eastAsia="Times New Roman" w:hAnsi="Times New Roman" w:cs="Times New Roman"/>
          <w:b/>
          <w:sz w:val="28"/>
          <w:szCs w:val="28"/>
          <w:lang w:eastAsia="es-ES"/>
        </w:rPr>
        <w:t xml:space="preserve"> celebrada a las trece horas treinta minutos del trece de abril de mil novecientos ochenta y siete</w:t>
      </w:r>
      <w:r>
        <w:rPr>
          <w:rFonts w:ascii="Times New Roman" w:eastAsia="Times New Roman" w:hAnsi="Times New Roman" w:cs="Times New Roman"/>
          <w:sz w:val="28"/>
          <w:szCs w:val="28"/>
          <w:lang w:eastAsia="es-ES"/>
        </w:rPr>
        <w:t xml:space="preserve">, con asistencia inicial de los señores Magistrados Blanco (Presidente); Cervantes, Arias, Zamora, Fernández, Arce, Ching, Ramírez, Guzmán, Houed, Gamboa, </w:t>
      </w:r>
      <w:r w:rsidR="00E94807">
        <w:rPr>
          <w:rFonts w:ascii="Times New Roman" w:eastAsia="Times New Roman" w:hAnsi="Times New Roman" w:cs="Times New Roman"/>
          <w:sz w:val="28"/>
          <w:szCs w:val="28"/>
          <w:lang w:eastAsia="es-ES"/>
        </w:rPr>
        <w:t>González</w:t>
      </w:r>
      <w:r>
        <w:rPr>
          <w:rFonts w:ascii="Times New Roman" w:eastAsia="Times New Roman" w:hAnsi="Times New Roman" w:cs="Times New Roman"/>
          <w:sz w:val="28"/>
          <w:szCs w:val="28"/>
          <w:lang w:eastAsia="es-ES"/>
        </w:rPr>
        <w:t xml:space="preserve"> y el Suplente licenciado Virgilio Calvo Sánchez, que sustituye al Magistrado Coto que disfruta de permiso con goce de salario, por enfermedad.</w:t>
      </w:r>
    </w:p>
    <w:p w:rsidR="00C20033" w:rsidRDefault="00C20033" w:rsidP="00C20033">
      <w:pPr>
        <w:spacing w:line="360" w:lineRule="auto"/>
        <w:jc w:val="both"/>
        <w:rPr>
          <w:rFonts w:ascii="Times New Roman" w:eastAsia="Times New Roman" w:hAnsi="Times New Roman" w:cs="Times New Roman"/>
          <w:sz w:val="28"/>
          <w:szCs w:val="28"/>
          <w:lang w:eastAsia="es-ES"/>
        </w:rPr>
      </w:pPr>
    </w:p>
    <w:p w:rsidR="00C20033" w:rsidRDefault="00665B24" w:rsidP="00C20033">
      <w:pPr>
        <w:jc w:val="center"/>
        <w:rPr>
          <w:rFonts w:ascii="Times New Roman" w:eastAsia="Times New Roman" w:hAnsi="Times New Roman" w:cs="Times New Roman"/>
          <w:b/>
          <w:sz w:val="28"/>
          <w:szCs w:val="28"/>
          <w:lang w:eastAsia="es-ES"/>
        </w:rPr>
      </w:pPr>
      <w:r>
        <w:rPr>
          <w:rFonts w:ascii="Times New Roman" w:eastAsia="Times New Roman" w:hAnsi="Times New Roman" w:cs="Times New Roman"/>
          <w:b/>
          <w:sz w:val="28"/>
          <w:szCs w:val="28"/>
          <w:lang w:eastAsia="es-ES"/>
        </w:rPr>
        <w:t xml:space="preserve">Artículo </w:t>
      </w:r>
      <w:r w:rsidR="00C20033">
        <w:rPr>
          <w:rFonts w:ascii="Times New Roman" w:eastAsia="Times New Roman" w:hAnsi="Times New Roman" w:cs="Times New Roman"/>
          <w:b/>
          <w:sz w:val="28"/>
          <w:szCs w:val="28"/>
          <w:lang w:eastAsia="es-ES"/>
        </w:rPr>
        <w:t>V</w:t>
      </w:r>
    </w:p>
    <w:p w:rsidR="00665B24" w:rsidRDefault="00665B24" w:rsidP="00665B2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En escrito presentado a las quince horas cuarenta y cinco minutos del tres de abril en curso, la licenciada Irene María Lobo Hernández expreso: </w:t>
      </w:r>
    </w:p>
    <w:p w:rsidR="00665B24" w:rsidRDefault="00665B24" w:rsidP="00665B2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w:t>
      </w:r>
      <w:r w:rsidRPr="00E94807">
        <w:rPr>
          <w:rFonts w:ascii="Times New Roman" w:eastAsia="Times New Roman" w:hAnsi="Times New Roman" w:cs="Times New Roman"/>
          <w:i/>
          <w:sz w:val="28"/>
          <w:szCs w:val="28"/>
          <w:lang w:eastAsia="es-ES"/>
        </w:rPr>
        <w:t xml:space="preserve">Establezco recurso de Hábeas Corpus a favor del señor </w:t>
      </w:r>
      <w:r w:rsidRPr="00E94807">
        <w:rPr>
          <w:rFonts w:ascii="Times New Roman" w:eastAsia="Times New Roman" w:hAnsi="Times New Roman" w:cs="Times New Roman"/>
          <w:b/>
          <w:i/>
          <w:sz w:val="28"/>
          <w:szCs w:val="28"/>
          <w:lang w:eastAsia="es-ES"/>
        </w:rPr>
        <w:t>BOHDAN KOZIY</w:t>
      </w:r>
      <w:r w:rsidRPr="00E94807">
        <w:rPr>
          <w:rFonts w:ascii="Times New Roman" w:eastAsia="Times New Roman" w:hAnsi="Times New Roman" w:cs="Times New Roman"/>
          <w:i/>
          <w:sz w:val="28"/>
          <w:szCs w:val="28"/>
          <w:lang w:eastAsia="es-ES"/>
        </w:rPr>
        <w:t>, mayor, casado, vecino de C</w:t>
      </w:r>
      <w:r w:rsidR="004A18A4" w:rsidRPr="00E94807">
        <w:rPr>
          <w:rFonts w:ascii="Times New Roman" w:eastAsia="Times New Roman" w:hAnsi="Times New Roman" w:cs="Times New Roman"/>
          <w:i/>
          <w:sz w:val="28"/>
          <w:szCs w:val="28"/>
          <w:lang w:eastAsia="es-ES"/>
        </w:rPr>
        <w:t>alle Vargas; Tambor de Alajuela, de nacionalidad ucraniana, a quien considero ilegítimamente privado de su libertad y con amenaza de su vida</w:t>
      </w:r>
      <w:r w:rsidR="004A18A4">
        <w:rPr>
          <w:rFonts w:ascii="Times New Roman" w:eastAsia="Times New Roman" w:hAnsi="Times New Roman" w:cs="Times New Roman"/>
          <w:sz w:val="28"/>
          <w:szCs w:val="28"/>
          <w:lang w:eastAsia="es-ES"/>
        </w:rPr>
        <w:t>”.</w:t>
      </w:r>
    </w:p>
    <w:p w:rsidR="004A18A4" w:rsidRDefault="004A18A4" w:rsidP="00665B2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Se pidió informe a la señora </w:t>
      </w:r>
      <w:r w:rsidR="00FE004E">
        <w:rPr>
          <w:rFonts w:ascii="Times New Roman" w:eastAsia="Times New Roman" w:hAnsi="Times New Roman" w:cs="Times New Roman"/>
          <w:sz w:val="28"/>
          <w:szCs w:val="28"/>
          <w:lang w:eastAsia="es-ES"/>
        </w:rPr>
        <w:t xml:space="preserve">Juez Primero Penal </w:t>
      </w:r>
      <w:r w:rsidR="00FE004E" w:rsidRPr="00E94807">
        <w:rPr>
          <w:rFonts w:ascii="Times New Roman" w:eastAsia="Times New Roman" w:hAnsi="Times New Roman" w:cs="Times New Roman"/>
          <w:i/>
          <w:sz w:val="28"/>
          <w:szCs w:val="28"/>
          <w:lang w:eastAsia="es-ES"/>
        </w:rPr>
        <w:t>ad ínterin</w:t>
      </w:r>
      <w:r w:rsidR="00FE004E">
        <w:rPr>
          <w:rFonts w:ascii="Times New Roman" w:eastAsia="Times New Roman" w:hAnsi="Times New Roman" w:cs="Times New Roman"/>
          <w:sz w:val="28"/>
          <w:szCs w:val="28"/>
          <w:lang w:eastAsia="es-ES"/>
        </w:rPr>
        <w:t xml:space="preserve"> de Alajuela, quien expreso que el Tribunal Superior de Alajuela, Sección Primera, en resolución N°317 de las 9 horas del 11 de marzo de este año, declaró con lugar las diligencias de extradición promovidas por el Gobierno de la Unión de Repúblicas Socialistas Soviéticas contra Bohdan</w:t>
      </w:r>
      <w:r w:rsidR="00E94807">
        <w:rPr>
          <w:rFonts w:ascii="Times New Roman" w:eastAsia="Times New Roman" w:hAnsi="Times New Roman" w:cs="Times New Roman"/>
          <w:sz w:val="28"/>
          <w:szCs w:val="28"/>
          <w:lang w:eastAsia="es-ES"/>
        </w:rPr>
        <w:t xml:space="preserve"> </w:t>
      </w:r>
      <w:r w:rsidR="00FE004E">
        <w:rPr>
          <w:rFonts w:ascii="Times New Roman" w:eastAsia="Times New Roman" w:hAnsi="Times New Roman" w:cs="Times New Roman"/>
          <w:sz w:val="28"/>
          <w:szCs w:val="28"/>
          <w:lang w:eastAsia="es-ES"/>
        </w:rPr>
        <w:t>Koziy</w:t>
      </w:r>
      <w:r w:rsidR="00E94807">
        <w:rPr>
          <w:rFonts w:ascii="Times New Roman" w:eastAsia="Times New Roman" w:hAnsi="Times New Roman" w:cs="Times New Roman"/>
          <w:sz w:val="28"/>
          <w:szCs w:val="28"/>
          <w:lang w:eastAsia="es-ES"/>
        </w:rPr>
        <w:t xml:space="preserve"> </w:t>
      </w:r>
      <w:r w:rsidR="00FE004E">
        <w:rPr>
          <w:rFonts w:ascii="Times New Roman" w:eastAsia="Times New Roman" w:hAnsi="Times New Roman" w:cs="Times New Roman"/>
          <w:sz w:val="28"/>
          <w:szCs w:val="28"/>
          <w:lang w:eastAsia="es-ES"/>
        </w:rPr>
        <w:t>Ivanovich,</w:t>
      </w:r>
      <w:r w:rsidR="00267D3B">
        <w:rPr>
          <w:rFonts w:ascii="Times New Roman" w:eastAsia="Times New Roman" w:hAnsi="Times New Roman" w:cs="Times New Roman"/>
          <w:sz w:val="28"/>
          <w:szCs w:val="28"/>
          <w:lang w:eastAsia="es-ES"/>
        </w:rPr>
        <w:t xml:space="preserve"> a condición de que el Estado requirente garantice al Gobierno de Costa Rica, a través del Ministerio de Relaciones Exteriores y a juicio de este, que en ningún caso </w:t>
      </w:r>
      <w:r w:rsidR="00267D3B">
        <w:rPr>
          <w:rFonts w:ascii="Times New Roman" w:eastAsia="Times New Roman" w:hAnsi="Times New Roman" w:cs="Times New Roman"/>
          <w:sz w:val="28"/>
          <w:szCs w:val="28"/>
          <w:lang w:eastAsia="es-ES"/>
        </w:rPr>
        <w:lastRenderedPageBreak/>
        <w:t xml:space="preserve">impondrá al extraditable </w:t>
      </w:r>
      <w:r w:rsidR="00AB4AB4">
        <w:rPr>
          <w:rFonts w:ascii="Times New Roman" w:eastAsia="Times New Roman" w:hAnsi="Times New Roman" w:cs="Times New Roman"/>
          <w:sz w:val="28"/>
          <w:szCs w:val="28"/>
          <w:lang w:eastAsia="es-ES"/>
        </w:rPr>
        <w:t>la pena de muerte, lo cual debe hacer dentro del término de dos meses. Asimismo, dispuso la detención del señor Kosiy en un centro carcelario a la orden de las autoridades de policía, para su entrega al Gobierno de la URSS una vez cumplida aquella prevención y sin perjuicio de ordenar su libertad, si dentro de ese término de dos meses no se otorga la garantía o se dispone del requerido.</w:t>
      </w:r>
    </w:p>
    <w:p w:rsidR="00EF2EE6" w:rsidRDefault="00AB4AB4" w:rsidP="00665B2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Por su parte la señora Secretaria del Tribunal Superior de Alajuela informo que el señor Kosiy no se encuentra a la orden de ese Despacho, sino del Ministerio de Gobernación y Policía. </w:t>
      </w:r>
    </w:p>
    <w:p w:rsidR="00AB4AB4" w:rsidRDefault="00EF2EE6" w:rsidP="00665B2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El licenciado Rolando Ramírez </w:t>
      </w:r>
      <w:r w:rsidR="00B7142B">
        <w:rPr>
          <w:rFonts w:ascii="Times New Roman" w:eastAsia="Times New Roman" w:hAnsi="Times New Roman" w:cs="Times New Roman"/>
          <w:sz w:val="28"/>
          <w:szCs w:val="28"/>
          <w:lang w:eastAsia="es-ES"/>
        </w:rPr>
        <w:t>Paniagua, Ministro de Gobernación y Policía, manifestó que el señor Bohdan</w:t>
      </w:r>
      <w:r w:rsidR="00E94807">
        <w:rPr>
          <w:rFonts w:ascii="Times New Roman" w:eastAsia="Times New Roman" w:hAnsi="Times New Roman" w:cs="Times New Roman"/>
          <w:sz w:val="28"/>
          <w:szCs w:val="28"/>
          <w:lang w:eastAsia="es-ES"/>
        </w:rPr>
        <w:t xml:space="preserve"> </w:t>
      </w:r>
      <w:r w:rsidR="00B7142B">
        <w:rPr>
          <w:rFonts w:ascii="Times New Roman" w:eastAsia="Times New Roman" w:hAnsi="Times New Roman" w:cs="Times New Roman"/>
          <w:sz w:val="28"/>
          <w:szCs w:val="28"/>
          <w:lang w:eastAsia="es-ES"/>
        </w:rPr>
        <w:t xml:space="preserve">Kosiy se encuentra en la Unidad de Confianza de San Agustín, a la orden de ese Ministerio, según comunicación que el Juzgado Primero Penal de Alajuela, remitió el treinta y uno del mes anterior al Director de la Unidad de Admisión y Contraventores de Alajuela, de allí que la detención de esa persona </w:t>
      </w:r>
      <w:r w:rsidR="000B46DB">
        <w:rPr>
          <w:rFonts w:ascii="Times New Roman" w:eastAsia="Times New Roman" w:hAnsi="Times New Roman" w:cs="Times New Roman"/>
          <w:sz w:val="28"/>
          <w:szCs w:val="28"/>
          <w:lang w:eastAsia="es-ES"/>
        </w:rPr>
        <w:t>está</w:t>
      </w:r>
      <w:r w:rsidR="00E94807">
        <w:rPr>
          <w:rFonts w:ascii="Times New Roman" w:eastAsia="Times New Roman" w:hAnsi="Times New Roman" w:cs="Times New Roman"/>
          <w:sz w:val="28"/>
          <w:szCs w:val="28"/>
          <w:lang w:eastAsia="es-ES"/>
        </w:rPr>
        <w:t xml:space="preserve"> </w:t>
      </w:r>
      <w:r w:rsidR="000B46DB">
        <w:rPr>
          <w:rFonts w:ascii="Times New Roman" w:eastAsia="Times New Roman" w:hAnsi="Times New Roman" w:cs="Times New Roman"/>
          <w:sz w:val="28"/>
          <w:szCs w:val="28"/>
          <w:lang w:eastAsia="es-ES"/>
        </w:rPr>
        <w:t xml:space="preserve">ajustada a derecho por tener fundamento en una orden judicial. </w:t>
      </w:r>
    </w:p>
    <w:p w:rsidR="00C23CD0" w:rsidRDefault="00C23CD0" w:rsidP="00665B2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Previa deliberación, se resolvió: Declarar sin lugar el Hábeas Corpus, debido a que la privación de libertad del señor Kosiy tiene fundamento en la sentencia que dictó el Tribunal Superior de Alajuela al resolver las diligencias de extradición </w:t>
      </w:r>
      <w:r w:rsidR="00503BF3">
        <w:rPr>
          <w:rFonts w:ascii="Times New Roman" w:eastAsia="Times New Roman" w:hAnsi="Times New Roman" w:cs="Times New Roman"/>
          <w:sz w:val="28"/>
          <w:szCs w:val="28"/>
          <w:lang w:eastAsia="es-ES"/>
        </w:rPr>
        <w:t xml:space="preserve">que en su contra promovió la Unión Soviética, por lo que en esas circunstancias no puede considerarse ilegítima la privación de su libertad. En esa forma votaron los Magistrados Blanco, Arroyo, Chacón, Rodríguez, Zamora, Fernández, Arce, Ching, Carvajal, Ramírez, Guzmán, Houed, Gamboa, </w:t>
      </w:r>
      <w:r w:rsidR="00E94807">
        <w:rPr>
          <w:rFonts w:ascii="Times New Roman" w:eastAsia="Times New Roman" w:hAnsi="Times New Roman" w:cs="Times New Roman"/>
          <w:sz w:val="28"/>
          <w:szCs w:val="28"/>
          <w:lang w:eastAsia="es-ES"/>
        </w:rPr>
        <w:t>González</w:t>
      </w:r>
      <w:r w:rsidR="00503BF3">
        <w:rPr>
          <w:rFonts w:ascii="Times New Roman" w:eastAsia="Times New Roman" w:hAnsi="Times New Roman" w:cs="Times New Roman"/>
          <w:sz w:val="28"/>
          <w:szCs w:val="28"/>
          <w:lang w:eastAsia="es-ES"/>
        </w:rPr>
        <w:t xml:space="preserve"> y el suplente licenciado Calvo Sánchez.</w:t>
      </w:r>
    </w:p>
    <w:p w:rsidR="00503BF3" w:rsidRDefault="00A03DDE" w:rsidP="00665B2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El Magistrado Chacón Bravo razona su voto así:</w:t>
      </w:r>
    </w:p>
    <w:p w:rsidR="00977B42" w:rsidRDefault="00A03DDE" w:rsidP="00665B2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lastRenderedPageBreak/>
        <w:t xml:space="preserve">El recurso de Hábeas Corpus procede contra la detención ilegal que imponga una autoridad de cualquier orden (artículo 1° de la Ley de Hábeas Corpus). Es </w:t>
      </w:r>
      <w:r w:rsidR="00AD588E">
        <w:rPr>
          <w:rFonts w:ascii="Times New Roman" w:eastAsia="Times New Roman" w:hAnsi="Times New Roman" w:cs="Times New Roman"/>
          <w:sz w:val="28"/>
          <w:szCs w:val="28"/>
          <w:lang w:eastAsia="es-ES"/>
        </w:rPr>
        <w:t>decir,</w:t>
      </w:r>
      <w:r>
        <w:rPr>
          <w:rFonts w:ascii="Times New Roman" w:eastAsia="Times New Roman" w:hAnsi="Times New Roman" w:cs="Times New Roman"/>
          <w:sz w:val="28"/>
          <w:szCs w:val="28"/>
          <w:lang w:eastAsia="es-ES"/>
        </w:rPr>
        <w:t xml:space="preserve"> cualquier autoridad </w:t>
      </w:r>
      <w:r w:rsidR="00AD588E">
        <w:rPr>
          <w:rFonts w:ascii="Times New Roman" w:eastAsia="Times New Roman" w:hAnsi="Times New Roman" w:cs="Times New Roman"/>
          <w:sz w:val="28"/>
          <w:szCs w:val="28"/>
          <w:lang w:eastAsia="es-ES"/>
        </w:rPr>
        <w:t>administrativa, de policía o judicial. Poco importa que la detención ilegítima esté respaldada por una resolución dictada</w:t>
      </w:r>
      <w:r w:rsidR="008A1B8F">
        <w:rPr>
          <w:rFonts w:ascii="Times New Roman" w:eastAsia="Times New Roman" w:hAnsi="Times New Roman" w:cs="Times New Roman"/>
          <w:sz w:val="28"/>
          <w:szCs w:val="28"/>
          <w:lang w:eastAsia="es-ES"/>
        </w:rPr>
        <w:t xml:space="preserve"> por cualquiera de dichas autoridades. Ni que esté firme, ni que se hayan agotado o no los recursos que contra ellos quepan</w:t>
      </w:r>
      <w:r w:rsidR="00161DA8">
        <w:rPr>
          <w:rFonts w:ascii="Times New Roman" w:eastAsia="Times New Roman" w:hAnsi="Times New Roman" w:cs="Times New Roman"/>
          <w:sz w:val="28"/>
          <w:szCs w:val="28"/>
          <w:lang w:eastAsia="es-ES"/>
        </w:rPr>
        <w:t xml:space="preserve">. Si la privación de libertad es contraria a la ley, procede el Hábeas Corpus, el artículo 9 de dicha ley da un amplio margen para examinar todas aquellas situaciones en que la persona puede sufrir una detención ilegal. La única autoridad competente para conocer de este recurso es la Corte Plena, máximo Tribunal, integrado por 17 Magistrados. Si del examen practicado conforme a la Ley de Hábeas Corpus resulta ilegal la orden de detención o ilegítima la restricción de libertad, ordenara la libertad inmediata del perjudicado, (artículo 10). Se deja en consecuencia sin eficacia la resolución en cuanto priva de la libertad al individuo. Poco importan los otros efectos. Lo realmente importante es que, en Costa Rica, nadie puede estar privado de la libertad contra la ley. Las diligencias de extradición no son un juicio en los términos a que se refiere el inciso </w:t>
      </w:r>
      <w:r w:rsidR="00BB113A">
        <w:rPr>
          <w:rFonts w:ascii="Times New Roman" w:eastAsia="Times New Roman" w:hAnsi="Times New Roman" w:cs="Times New Roman"/>
          <w:sz w:val="28"/>
          <w:szCs w:val="28"/>
          <w:lang w:eastAsia="es-ES"/>
        </w:rPr>
        <w:t>4° del artículo 9. Por esa razón si del examen de dichas diligencias se desprende que el reo ha sido privado de su libertad ilegítimamente procede el recurso. En el caso en estudio no puede arribarse a esa conclusión. En doctrina, se denominan principios de extradición, a aquellos que protegen a las personas contra los pedimentos o entregas arbitrarias de los gobiernos, garantizando así, su seguridad jurídica. Dichos principios son: de legalidad, de doble incriminación o de identidad de la norma, de conmutación</w:t>
      </w:r>
      <w:r w:rsidR="00E70B11">
        <w:rPr>
          <w:rFonts w:ascii="Times New Roman" w:eastAsia="Times New Roman" w:hAnsi="Times New Roman" w:cs="Times New Roman"/>
          <w:sz w:val="28"/>
          <w:szCs w:val="28"/>
          <w:lang w:eastAsia="es-ES"/>
        </w:rPr>
        <w:t xml:space="preserve">, de jurisdiccionalidad, y de </w:t>
      </w:r>
      <w:r w:rsidR="00E70B11" w:rsidRPr="00E94807">
        <w:rPr>
          <w:rFonts w:ascii="Times New Roman" w:eastAsia="Times New Roman" w:hAnsi="Times New Roman" w:cs="Times New Roman"/>
          <w:i/>
          <w:sz w:val="28"/>
          <w:szCs w:val="28"/>
          <w:lang w:eastAsia="es-ES"/>
        </w:rPr>
        <w:t>non bis in ídem</w:t>
      </w:r>
      <w:r w:rsidR="00E70B11">
        <w:rPr>
          <w:rFonts w:ascii="Times New Roman" w:eastAsia="Times New Roman" w:hAnsi="Times New Roman" w:cs="Times New Roman"/>
          <w:sz w:val="28"/>
          <w:szCs w:val="28"/>
          <w:lang w:eastAsia="es-ES"/>
        </w:rPr>
        <w:t>, el segundo de ellos, que es el que interesa de doble incriminación, se distingue en abstracto o sea que el hecho</w:t>
      </w:r>
      <w:r w:rsidR="003B6D3F">
        <w:rPr>
          <w:rFonts w:ascii="Times New Roman" w:eastAsia="Times New Roman" w:hAnsi="Times New Roman" w:cs="Times New Roman"/>
          <w:sz w:val="28"/>
          <w:szCs w:val="28"/>
          <w:lang w:eastAsia="es-ES"/>
        </w:rPr>
        <w:t xml:space="preserve"> este considerado en ambas legislaciones como delito; y en concreto en el </w:t>
      </w:r>
      <w:r w:rsidR="003B6D3F">
        <w:rPr>
          <w:rFonts w:ascii="Times New Roman" w:eastAsia="Times New Roman" w:hAnsi="Times New Roman" w:cs="Times New Roman"/>
          <w:sz w:val="28"/>
          <w:szCs w:val="28"/>
          <w:lang w:eastAsia="es-ES"/>
        </w:rPr>
        <w:lastRenderedPageBreak/>
        <w:t xml:space="preserve">sentido de que además de la previsión citada, el hecho resulta punible en el caso concreto, por no concurrir ninguna causa de extinción de la responsabilidad criminal (amnistía o prescripción). El principio fundamental en que la punibilidad ha de ser en concreto en cuanto al Estado requirente, pues si el hecho no es punible en el Estado que solicita la extradición, no cabe duda de que se </w:t>
      </w:r>
      <w:proofErr w:type="gramStart"/>
      <w:r w:rsidR="003B6D3F">
        <w:rPr>
          <w:rFonts w:ascii="Times New Roman" w:eastAsia="Times New Roman" w:hAnsi="Times New Roman" w:cs="Times New Roman"/>
          <w:sz w:val="28"/>
          <w:szCs w:val="28"/>
          <w:lang w:eastAsia="es-ES"/>
        </w:rPr>
        <w:t>hace</w:t>
      </w:r>
      <w:proofErr w:type="gramEnd"/>
      <w:r w:rsidR="003B6D3F">
        <w:rPr>
          <w:rFonts w:ascii="Times New Roman" w:eastAsia="Times New Roman" w:hAnsi="Times New Roman" w:cs="Times New Roman"/>
          <w:sz w:val="28"/>
          <w:szCs w:val="28"/>
          <w:lang w:eastAsia="es-ES"/>
        </w:rPr>
        <w:t xml:space="preserve"> con otros fines o que es una arbitrariedad </w:t>
      </w:r>
      <w:r w:rsidR="000916F3">
        <w:rPr>
          <w:rFonts w:ascii="Times New Roman" w:eastAsia="Times New Roman" w:hAnsi="Times New Roman" w:cs="Times New Roman"/>
          <w:sz w:val="28"/>
          <w:szCs w:val="28"/>
          <w:lang w:eastAsia="es-ES"/>
        </w:rPr>
        <w:t>sin sentido</w:t>
      </w:r>
      <w:r w:rsidR="00284594">
        <w:rPr>
          <w:rFonts w:ascii="Times New Roman" w:eastAsia="Times New Roman" w:hAnsi="Times New Roman" w:cs="Times New Roman"/>
          <w:sz w:val="28"/>
          <w:szCs w:val="28"/>
          <w:lang w:eastAsia="es-ES"/>
        </w:rPr>
        <w:t xml:space="preserve">. El X Congreso Internacional de Derecho Penal, que se celebró en Roma en 1969, (Revue Internacional de Droit Penal, 1970, fase 1-2, págs. 12 ss), considero irrelavantes a los fines de la extradición cualquier amnistía concedida en el Estado requerido o la prescripción adquirida, según la ley de éste. Al interpretar el Tribunal de Alajuela, que el inciso d) del artículo 3° de la Ley de Extradición, en cuanto exige que el hecho no esté prescrito se refiere al país que la solicita, no violo el principio fundamental de la doble incriminación en concreto es del Estado requirente. El Hábeas Corpus hubiera prosperado, si la acción penal o la pena estuvieran </w:t>
      </w:r>
      <w:proofErr w:type="gramStart"/>
      <w:r w:rsidR="00284594">
        <w:rPr>
          <w:rFonts w:ascii="Times New Roman" w:eastAsia="Times New Roman" w:hAnsi="Times New Roman" w:cs="Times New Roman"/>
          <w:sz w:val="28"/>
          <w:szCs w:val="28"/>
          <w:lang w:eastAsia="es-ES"/>
        </w:rPr>
        <w:t>prescritos</w:t>
      </w:r>
      <w:proofErr w:type="gramEnd"/>
      <w:r w:rsidR="00284594">
        <w:rPr>
          <w:rFonts w:ascii="Times New Roman" w:eastAsia="Times New Roman" w:hAnsi="Times New Roman" w:cs="Times New Roman"/>
          <w:sz w:val="28"/>
          <w:szCs w:val="28"/>
          <w:lang w:eastAsia="es-ES"/>
        </w:rPr>
        <w:t xml:space="preserve"> en el Estado requirente (Rusia), porque en este caso no tendría sentido la demanda de extradición y su fin resultaría desviado. Pero en Rusia son imprescriptibles los crímenes de lesa hum</w:t>
      </w:r>
      <w:r w:rsidR="00303903">
        <w:rPr>
          <w:rFonts w:ascii="Times New Roman" w:eastAsia="Times New Roman" w:hAnsi="Times New Roman" w:cs="Times New Roman"/>
          <w:sz w:val="28"/>
          <w:szCs w:val="28"/>
          <w:lang w:eastAsia="es-ES"/>
        </w:rPr>
        <w:t>anidad</w:t>
      </w:r>
      <w:r w:rsidR="00284594">
        <w:rPr>
          <w:rFonts w:ascii="Times New Roman" w:eastAsia="Times New Roman" w:hAnsi="Times New Roman" w:cs="Times New Roman"/>
          <w:sz w:val="28"/>
          <w:szCs w:val="28"/>
          <w:lang w:eastAsia="es-ES"/>
        </w:rPr>
        <w:t>, el fundamento de la prescripción, en cuanto a los otros delitos, por ejemplo, es que “</w:t>
      </w:r>
      <w:r w:rsidR="00DB3F11" w:rsidRPr="00E94807">
        <w:rPr>
          <w:rFonts w:ascii="Times New Roman" w:eastAsia="Times New Roman" w:hAnsi="Times New Roman" w:cs="Times New Roman"/>
          <w:i/>
          <w:sz w:val="28"/>
          <w:szCs w:val="28"/>
          <w:lang w:eastAsia="es-ES"/>
        </w:rPr>
        <w:t xml:space="preserve">El Estado, ante la fuerza material del tiempo que cubre de olvido los hechos criminosos, apaga las alarmas sociales y dificulta la consecución de las pruebas, </w:t>
      </w:r>
      <w:r w:rsidR="00B40C78" w:rsidRPr="00E94807">
        <w:rPr>
          <w:rFonts w:ascii="Times New Roman" w:eastAsia="Times New Roman" w:hAnsi="Times New Roman" w:cs="Times New Roman"/>
          <w:i/>
          <w:sz w:val="28"/>
          <w:szCs w:val="28"/>
          <w:lang w:eastAsia="es-ES"/>
        </w:rPr>
        <w:t xml:space="preserve">abdica el ejercicio </w:t>
      </w:r>
      <w:r w:rsidR="00303903" w:rsidRPr="00E94807">
        <w:rPr>
          <w:rFonts w:ascii="Times New Roman" w:eastAsia="Times New Roman" w:hAnsi="Times New Roman" w:cs="Times New Roman"/>
          <w:i/>
          <w:sz w:val="28"/>
          <w:szCs w:val="28"/>
          <w:lang w:eastAsia="es-ES"/>
        </w:rPr>
        <w:t>de su potestad punitiva y el derecho de aplicar la pena ya infringida</w:t>
      </w:r>
      <w:r w:rsidR="00303903">
        <w:rPr>
          <w:rFonts w:ascii="Times New Roman" w:eastAsia="Times New Roman" w:hAnsi="Times New Roman" w:cs="Times New Roman"/>
          <w:sz w:val="28"/>
          <w:szCs w:val="28"/>
          <w:lang w:eastAsia="es-ES"/>
        </w:rPr>
        <w:t xml:space="preserve">” (MAGGIORE). Pero en cuanto a los crímenes de lesa humanidad se ha dicho que no tiene el mismo fundamento porque el grado de repulsa y horror de tales crímenes han suscitado en la conciencia universal es tal, que ni se han olvidado, ni se les quiere olvidar, ni se les debe olvidar, porque mantener vivo y latente aquel recuerdo contribuirá a evitar su repetición en el futuro (FERME). No se ha violado el principio de legalidad porque del delito político se han excluido los crímenes contra la humanidad, entre los que se encuentra asesinatos u otro acto inhumano cometido contra cualquier población civil antes o durante la guerra, o persecuciones por motivos raciales o religiosos, en ejecución o en conexión </w:t>
      </w:r>
      <w:r w:rsidR="00977B42">
        <w:rPr>
          <w:rFonts w:ascii="Times New Roman" w:eastAsia="Times New Roman" w:hAnsi="Times New Roman" w:cs="Times New Roman"/>
          <w:sz w:val="28"/>
          <w:szCs w:val="28"/>
          <w:lang w:eastAsia="es-ES"/>
        </w:rPr>
        <w:t>con cualquier crimen de la jurisdicción del Tribunal, sean o no una violación de la legislación interna del país donde hubieran sido perpetrados. Por último, tampoco se ha violado el principio de conmutación conforme al cual, cuando el delito que motiva la extradición tiene señalada en la legislación del Estado requirente la pena de muerte, la concesión de extradición se entiende condicionada a la conmutación de la pena capital.</w:t>
      </w:r>
    </w:p>
    <w:p w:rsidR="00977B42" w:rsidRDefault="00977B42" w:rsidP="00665B2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El Magistrado Arias votó por rechazar de plano el recurso por estimar que la Corte en el presente caso carece de competencia para resolver el recurso, pues en el fondo significa revisar el fallo que dicto el Tribunal Superior de Alajuela en las diligencias de extradición mencionadas.</w:t>
      </w:r>
    </w:p>
    <w:p w:rsidR="00977B42" w:rsidRDefault="00977B42" w:rsidP="00665B2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El Magistrado Cervantes votó por declarar con lugar el </w:t>
      </w:r>
      <w:r w:rsidR="005E2EB4">
        <w:rPr>
          <w:rFonts w:ascii="Times New Roman" w:eastAsia="Times New Roman" w:hAnsi="Times New Roman" w:cs="Times New Roman"/>
          <w:sz w:val="28"/>
          <w:szCs w:val="28"/>
          <w:lang w:eastAsia="es-ES"/>
        </w:rPr>
        <w:t>recurso de Hábeas Corpus, con base en las siguientes consideraciones:</w:t>
      </w:r>
    </w:p>
    <w:p w:rsidR="005E2EB4" w:rsidRDefault="005E2EB4" w:rsidP="005E2EB4">
      <w:pPr>
        <w:pStyle w:val="Prrafodelista"/>
        <w:numPr>
          <w:ilvl w:val="0"/>
          <w:numId w:val="1"/>
        </w:num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En las sesiones de Corte Plena </w:t>
      </w:r>
      <w:r w:rsidR="00583354">
        <w:rPr>
          <w:rFonts w:ascii="Times New Roman" w:eastAsia="Times New Roman" w:hAnsi="Times New Roman" w:cs="Times New Roman"/>
          <w:sz w:val="28"/>
          <w:szCs w:val="28"/>
          <w:lang w:eastAsia="es-ES"/>
        </w:rPr>
        <w:t>números 56 y 58 de 11 y 18 de julio de 1983, artículos XV y II en su orden, y 109 de 10 diciembre de 1986, artículo V, se conoció de dos recursos de Hábeas Corpus, en que la privación de la libertad se originaba en sendas sentencias penales condenatorias firmes, que considere de ejecución ineficaz para privar de la libertad a la persona, restricción que entonces deviene en ilegítima, razón por la cual mi voto fue para acoger el recurso y ordenar la inmediata libertad. Di entonces las siguientes razones:</w:t>
      </w:r>
    </w:p>
    <w:p w:rsidR="00583354" w:rsidRPr="00E94807" w:rsidRDefault="00583354" w:rsidP="00583354">
      <w:pPr>
        <w:spacing w:line="360" w:lineRule="auto"/>
        <w:jc w:val="both"/>
        <w:rPr>
          <w:rFonts w:ascii="Times New Roman" w:eastAsia="Times New Roman" w:hAnsi="Times New Roman" w:cs="Times New Roman"/>
          <w:i/>
          <w:sz w:val="28"/>
          <w:szCs w:val="28"/>
          <w:lang w:eastAsia="es-ES"/>
        </w:rPr>
      </w:pPr>
      <w:r>
        <w:rPr>
          <w:rFonts w:ascii="Times New Roman" w:eastAsia="Times New Roman" w:hAnsi="Times New Roman" w:cs="Times New Roman"/>
          <w:sz w:val="28"/>
          <w:szCs w:val="28"/>
          <w:lang w:eastAsia="es-ES"/>
        </w:rPr>
        <w:t>“</w:t>
      </w:r>
      <w:r w:rsidRPr="00E94807">
        <w:rPr>
          <w:rFonts w:ascii="Times New Roman" w:eastAsia="Times New Roman" w:hAnsi="Times New Roman" w:cs="Times New Roman"/>
          <w:i/>
          <w:sz w:val="28"/>
          <w:szCs w:val="28"/>
          <w:lang w:eastAsia="es-ES"/>
        </w:rPr>
        <w:t xml:space="preserve">No interesa ni corresponde considerar ahora la inocencia a la culpabilidad del imputado, lo único </w:t>
      </w:r>
      <w:r w:rsidR="00B274DD" w:rsidRPr="00E94807">
        <w:rPr>
          <w:rFonts w:ascii="Times New Roman" w:eastAsia="Times New Roman" w:hAnsi="Times New Roman" w:cs="Times New Roman"/>
          <w:i/>
          <w:sz w:val="28"/>
          <w:szCs w:val="28"/>
          <w:lang w:eastAsia="es-ES"/>
        </w:rPr>
        <w:t xml:space="preserve">que interesa es que, inocente o culpable, guarda prisión impuesta por una sentencia que por lo dicho no es válida, que independientemente </w:t>
      </w:r>
      <w:r w:rsidR="004E723E" w:rsidRPr="00E94807">
        <w:rPr>
          <w:rFonts w:ascii="Times New Roman" w:eastAsia="Times New Roman" w:hAnsi="Times New Roman" w:cs="Times New Roman"/>
          <w:i/>
          <w:sz w:val="28"/>
          <w:szCs w:val="28"/>
          <w:lang w:eastAsia="es-ES"/>
        </w:rPr>
        <w:t>de cualquier declaratoria de nulidad carece de eficacia, dicho de otro modo, es de ejecución ineficaz y torna en ilegítima la privación de la libertad que con base en ella se ha impuesto a una persona, quien quiera que ella sea (artículos 48 de la Constitución Política y 1° de la Ley de Hábeas Corpus, N°35 de 24 de noviembre de 1932).</w:t>
      </w:r>
    </w:p>
    <w:p w:rsidR="004E723E" w:rsidRPr="00E94807" w:rsidRDefault="004E723E" w:rsidP="00583354">
      <w:pPr>
        <w:spacing w:line="360" w:lineRule="auto"/>
        <w:jc w:val="both"/>
        <w:rPr>
          <w:rFonts w:ascii="Times New Roman" w:eastAsia="Times New Roman" w:hAnsi="Times New Roman" w:cs="Times New Roman"/>
          <w:i/>
          <w:sz w:val="28"/>
          <w:szCs w:val="28"/>
          <w:lang w:eastAsia="es-ES"/>
        </w:rPr>
      </w:pPr>
      <w:r w:rsidRPr="00E94807">
        <w:rPr>
          <w:rFonts w:ascii="Times New Roman" w:eastAsia="Times New Roman" w:hAnsi="Times New Roman" w:cs="Times New Roman"/>
          <w:i/>
          <w:sz w:val="28"/>
          <w:szCs w:val="28"/>
          <w:lang w:eastAsia="es-ES"/>
        </w:rPr>
        <w:t>La Ley de Hábeas Corpus, en el artículo 11, inciso 3° y 4° establece la improcedencia con rechazo de plano del recurso en los casos de apremio corporal. Sin embargo, la Corte ha considerado y resuelto, que ello es así cuando el apremio sido legalmente decretado, porque de lo contrario es ilegítima la privación de la libertad, y por ello es que en diferentes</w:t>
      </w:r>
      <w:r w:rsidR="00253F86" w:rsidRPr="00E94807">
        <w:rPr>
          <w:rFonts w:ascii="Times New Roman" w:eastAsia="Times New Roman" w:hAnsi="Times New Roman" w:cs="Times New Roman"/>
          <w:i/>
          <w:sz w:val="28"/>
          <w:szCs w:val="28"/>
          <w:lang w:eastAsia="es-ES"/>
        </w:rPr>
        <w:t xml:space="preserve"> ocasiones ha declarado </w:t>
      </w:r>
      <w:r w:rsidR="006A2A08" w:rsidRPr="00E94807">
        <w:rPr>
          <w:rFonts w:ascii="Times New Roman" w:eastAsia="Times New Roman" w:hAnsi="Times New Roman" w:cs="Times New Roman"/>
          <w:i/>
          <w:sz w:val="28"/>
          <w:szCs w:val="28"/>
          <w:lang w:eastAsia="es-ES"/>
        </w:rPr>
        <w:t xml:space="preserve">con lugar el Hábeas Corpus, por privación de la libertad originada en un apremio corporal. Y así lo ha hecho la Corte aun en casos en que los Tribunales Superiores respectivos han conocido y confirmado en segunda instancia, porque conforme al artículo 10 de la Ley de Hábeas Corpus, lo que corresponde es decretar la cancelación de la orden de detención y la libertad inmediata del perjudicado. O sea que, no se declare la revocatoria o nulidad de las respectivas resoluciones, estas se mantienen formalmente en los procesos, pero han venido a ser ineficaces a los efectos de la privación de la libertad. Es que la solución </w:t>
      </w:r>
      <w:r w:rsidR="006B0D88" w:rsidRPr="00E94807">
        <w:rPr>
          <w:rFonts w:ascii="Times New Roman" w:eastAsia="Times New Roman" w:hAnsi="Times New Roman" w:cs="Times New Roman"/>
          <w:i/>
          <w:sz w:val="28"/>
          <w:szCs w:val="28"/>
          <w:lang w:eastAsia="es-ES"/>
        </w:rPr>
        <w:t>debe ser diferente cuando se trata de la sentencia por el efecto de la cosa juzgada. Aunque un sector de la doctrina lo</w:t>
      </w:r>
      <w:r w:rsidR="00A42BF0" w:rsidRPr="00E94807">
        <w:rPr>
          <w:rFonts w:ascii="Times New Roman" w:eastAsia="Times New Roman" w:hAnsi="Times New Roman" w:cs="Times New Roman"/>
          <w:i/>
          <w:sz w:val="28"/>
          <w:szCs w:val="28"/>
          <w:lang w:eastAsia="es-ES"/>
        </w:rPr>
        <w:t xml:space="preserve"> hayan sostenido o lo sostenga así, la verdad es que la doctrina cambia, pues cambian las ideas, las opiniones, los conceptos y desde luego las leyes mismas, y por otra parte es punto muy cuestionable el de si la cosa juzgada puede tener como base una sentencia que, como en el caso concreto, adolece de nulidad absoluta.</w:t>
      </w:r>
    </w:p>
    <w:p w:rsidR="00A42BF0" w:rsidRDefault="005263AA" w:rsidP="00583354">
      <w:pPr>
        <w:spacing w:line="360" w:lineRule="auto"/>
        <w:jc w:val="both"/>
        <w:rPr>
          <w:rFonts w:ascii="Times New Roman" w:eastAsia="Times New Roman" w:hAnsi="Times New Roman" w:cs="Times New Roman"/>
          <w:sz w:val="28"/>
          <w:szCs w:val="28"/>
          <w:lang w:eastAsia="es-ES"/>
        </w:rPr>
      </w:pPr>
      <w:r w:rsidRPr="00E94807">
        <w:rPr>
          <w:rFonts w:ascii="Times New Roman" w:eastAsia="Times New Roman" w:hAnsi="Times New Roman" w:cs="Times New Roman"/>
          <w:i/>
          <w:sz w:val="28"/>
          <w:szCs w:val="28"/>
          <w:lang w:eastAsia="es-ES"/>
        </w:rPr>
        <w:t>Debe tenerse muy presente que se trata de un derecho de naturaleza tan superior como el de la libertad de la persona, que por ser ello así es que contra su restricción ilegítima se concede el recurso de Hábeas Corpus, de conocimiento exclusivo de la Corte Suprema de Justicia (artículo 48 de la Constitución Política). La Corte actúa entonces en su función de Tribunal Constitucional, en tutela de uno de los más importantes derechos que consagra la Constitución, el de la libertad, respecto del cual su actuación está muy por encima del resto del ordenamiento jurídico. Es así como, de acuerdo con todo lo expuesto, en mi criterio la sentencia es de ejecución ineficaz para privar de la libertad al imputado, restricción que entonces es ilegítima, razón por la cual mi voto es por acoger el recurso de hábeas corpus y ordenar la inmediata libertad</w:t>
      </w:r>
      <w:r>
        <w:rPr>
          <w:rFonts w:ascii="Times New Roman" w:eastAsia="Times New Roman" w:hAnsi="Times New Roman" w:cs="Times New Roman"/>
          <w:sz w:val="28"/>
          <w:szCs w:val="28"/>
          <w:lang w:eastAsia="es-ES"/>
        </w:rPr>
        <w:t>”</w:t>
      </w:r>
      <w:r w:rsidR="00E94807">
        <w:rPr>
          <w:rFonts w:ascii="Times New Roman" w:eastAsia="Times New Roman" w:hAnsi="Times New Roman" w:cs="Times New Roman"/>
          <w:sz w:val="28"/>
          <w:szCs w:val="28"/>
          <w:lang w:eastAsia="es-ES"/>
        </w:rPr>
        <w:t>.</w:t>
      </w:r>
    </w:p>
    <w:p w:rsidR="005263AA" w:rsidRDefault="005263AA" w:rsidP="0058335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El voto que di en los dos casos citados me lleva a proceder de igual manera en este asunto, conforme a lo que seguidamente expondré:</w:t>
      </w:r>
    </w:p>
    <w:p w:rsidR="005263AA" w:rsidRDefault="005263AA" w:rsidP="005263AA">
      <w:pPr>
        <w:pStyle w:val="Prrafodelista"/>
        <w:numPr>
          <w:ilvl w:val="0"/>
          <w:numId w:val="1"/>
        </w:num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Al conocer y resolver </w:t>
      </w:r>
      <w:r w:rsidR="00692FA7">
        <w:rPr>
          <w:rFonts w:ascii="Times New Roman" w:eastAsia="Times New Roman" w:hAnsi="Times New Roman" w:cs="Times New Roman"/>
          <w:sz w:val="28"/>
          <w:szCs w:val="28"/>
          <w:lang w:eastAsia="es-ES"/>
        </w:rPr>
        <w:t xml:space="preserve">conforme se ha expuesto, no se incumple el precepto de los artículos 155 de la Constitución y 4° de la Ley </w:t>
      </w:r>
      <w:r w:rsidR="004E5306">
        <w:rPr>
          <w:rFonts w:ascii="Times New Roman" w:eastAsia="Times New Roman" w:hAnsi="Times New Roman" w:cs="Times New Roman"/>
          <w:sz w:val="28"/>
          <w:szCs w:val="28"/>
          <w:lang w:eastAsia="es-ES"/>
        </w:rPr>
        <w:t>Orgánica del Poder Judicial, de que “</w:t>
      </w:r>
      <w:r w:rsidR="004E5306" w:rsidRPr="00E94807">
        <w:rPr>
          <w:rFonts w:ascii="Times New Roman" w:eastAsia="Times New Roman" w:hAnsi="Times New Roman" w:cs="Times New Roman"/>
          <w:i/>
          <w:sz w:val="28"/>
          <w:szCs w:val="28"/>
          <w:lang w:eastAsia="es-ES"/>
        </w:rPr>
        <w:t xml:space="preserve">ningún tribunal puede </w:t>
      </w:r>
      <w:r w:rsidR="00E94807" w:rsidRPr="00E94807">
        <w:rPr>
          <w:rFonts w:ascii="Times New Roman" w:eastAsia="Times New Roman" w:hAnsi="Times New Roman" w:cs="Times New Roman"/>
          <w:i/>
          <w:sz w:val="28"/>
          <w:szCs w:val="28"/>
          <w:lang w:eastAsia="es-ES"/>
        </w:rPr>
        <w:t>a</w:t>
      </w:r>
      <w:r w:rsidR="004E5306" w:rsidRPr="00E94807">
        <w:rPr>
          <w:rFonts w:ascii="Times New Roman" w:eastAsia="Times New Roman" w:hAnsi="Times New Roman" w:cs="Times New Roman"/>
          <w:i/>
          <w:sz w:val="28"/>
          <w:szCs w:val="28"/>
          <w:lang w:eastAsia="es-ES"/>
        </w:rPr>
        <w:t>vocar el conocimiento de causas pendientes ante otro</w:t>
      </w:r>
      <w:r w:rsidR="004E5306">
        <w:rPr>
          <w:rFonts w:ascii="Times New Roman" w:eastAsia="Times New Roman" w:hAnsi="Times New Roman" w:cs="Times New Roman"/>
          <w:sz w:val="28"/>
          <w:szCs w:val="28"/>
          <w:lang w:eastAsia="es-ES"/>
        </w:rPr>
        <w:t>”. No se trata de ningún caso de avocamiento, sino de la competencia y función constitucional de la Corte Plena, que le otorgan las normas de igual rango, como son el artículo 48 de la Constitución y de la Ley de Hábeas Corpus. Tampoco se trata de que por esta vía la Corte va a estar revisando todos los procesos y resoluciones de los tribunales, pues como regla especial, de excepción, solo cabe hacerlo mediante el recurso de Hábeas Corpus y ante la restricción ilegítima de la libertad de la persona.</w:t>
      </w:r>
    </w:p>
    <w:p w:rsidR="004E5306" w:rsidRDefault="004E5306" w:rsidP="005263AA">
      <w:pPr>
        <w:pStyle w:val="Prrafodelista"/>
        <w:numPr>
          <w:ilvl w:val="0"/>
          <w:numId w:val="1"/>
        </w:num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Al resolver un caso concreto, el Juzgado Cuarto Penal de San José, en resolución </w:t>
      </w:r>
      <w:r w:rsidR="009A7323">
        <w:rPr>
          <w:rFonts w:ascii="Times New Roman" w:eastAsia="Times New Roman" w:hAnsi="Times New Roman" w:cs="Times New Roman"/>
          <w:sz w:val="28"/>
          <w:szCs w:val="28"/>
          <w:lang w:eastAsia="es-ES"/>
        </w:rPr>
        <w:t>de las 8 horas del 4 de mayo de 1984, declaro que conforme a la legislación costarricense prescribió la acción penal y denegó la extradición solicitada. Entre otros razonamientos y en lo que interesa, expreso el Juzgado: “</w:t>
      </w:r>
      <w:r w:rsidR="009A7323" w:rsidRPr="00E94807">
        <w:rPr>
          <w:rFonts w:ascii="Times New Roman" w:eastAsia="Times New Roman" w:hAnsi="Times New Roman" w:cs="Times New Roman"/>
          <w:i/>
          <w:sz w:val="28"/>
          <w:szCs w:val="28"/>
          <w:lang w:eastAsia="es-ES"/>
        </w:rPr>
        <w:t xml:space="preserve">La Ley de Extradición N°5991 de 9 de noviembre de </w:t>
      </w:r>
      <w:r w:rsidR="00C020C6" w:rsidRPr="00E94807">
        <w:rPr>
          <w:rFonts w:ascii="Times New Roman" w:eastAsia="Times New Roman" w:hAnsi="Times New Roman" w:cs="Times New Roman"/>
          <w:i/>
          <w:sz w:val="28"/>
          <w:szCs w:val="28"/>
          <w:lang w:eastAsia="es-ES"/>
        </w:rPr>
        <w:t xml:space="preserve">1976, en el artículo 3°, inciso d), establece que no se concederá la extradición cuando el hecho imputado no fuere delito, según la Ley costarricense, o siéndolo hubiera prescrito </w:t>
      </w:r>
      <w:r w:rsidR="002431D4" w:rsidRPr="00E94807">
        <w:rPr>
          <w:rFonts w:ascii="Times New Roman" w:eastAsia="Times New Roman" w:hAnsi="Times New Roman" w:cs="Times New Roman"/>
          <w:i/>
          <w:sz w:val="28"/>
          <w:szCs w:val="28"/>
          <w:lang w:eastAsia="es-ES"/>
        </w:rPr>
        <w:t xml:space="preserve">la acción o la pena, y el artículo 9° inciso c) párrafo 4°, estatuye que con la solicitud de extradición el gobierno requirente debe presentar copia autentica de las disposiciones legales sobre la calificación del hecho, participación atribuida al infractor, precisión de la pena aplicable y sobre la prescripción. En realidad la comprobación de las disposiciones legales sobre la pena y la prescripción son necesarias cuando la duración sea menor que la de la ley costarricense, ante la posibilidad </w:t>
      </w:r>
      <w:r w:rsidR="0047136E" w:rsidRPr="00E94807">
        <w:rPr>
          <w:rFonts w:ascii="Times New Roman" w:eastAsia="Times New Roman" w:hAnsi="Times New Roman" w:cs="Times New Roman"/>
          <w:i/>
          <w:sz w:val="28"/>
          <w:szCs w:val="28"/>
          <w:lang w:eastAsia="es-ES"/>
        </w:rPr>
        <w:t>de que sin estar prescrito en Costa Rica, debe estarse entonces al de nuestro país. Lo anterior significa que la extradición no procede cuando conforme a las leyes de cualquiera de los dos Estados, hubiere prescrito la acción penal o la pena</w:t>
      </w:r>
      <w:r w:rsidR="0047136E">
        <w:rPr>
          <w:rFonts w:ascii="Times New Roman" w:eastAsia="Times New Roman" w:hAnsi="Times New Roman" w:cs="Times New Roman"/>
          <w:sz w:val="28"/>
          <w:szCs w:val="28"/>
          <w:lang w:eastAsia="es-ES"/>
        </w:rPr>
        <w:t>”. Esa resolución fue en apelación al Tribunal Superior Segundo Penal de San José, Sección Segunda, el que en la suya N°153-B-85 de las 10:50 horas del 28 de enero de 1985, dispuso: “</w:t>
      </w:r>
      <w:r w:rsidR="0047136E" w:rsidRPr="00E94807">
        <w:rPr>
          <w:rFonts w:ascii="Times New Roman" w:eastAsia="Times New Roman" w:hAnsi="Times New Roman" w:cs="Times New Roman"/>
          <w:i/>
          <w:sz w:val="28"/>
          <w:szCs w:val="28"/>
          <w:lang w:eastAsia="es-ES"/>
        </w:rPr>
        <w:t xml:space="preserve">Confirmar la resolución por encontrarse arreglada a derecho y al mérito de los autos, acogiéndose para ello el análisis que la Juez a quo realizo del Convenio de Extradición </w:t>
      </w:r>
      <w:r w:rsidR="00C140E6" w:rsidRPr="00E94807">
        <w:rPr>
          <w:rFonts w:ascii="Times New Roman" w:eastAsia="Times New Roman" w:hAnsi="Times New Roman" w:cs="Times New Roman"/>
          <w:i/>
          <w:sz w:val="28"/>
          <w:szCs w:val="28"/>
          <w:lang w:eastAsia="es-ES"/>
        </w:rPr>
        <w:t>entre Italia y Costa Rica, como fuente primaria, y la Ley de Extradición vigente, en segundo plano</w:t>
      </w:r>
      <w:r w:rsidR="00C140E6">
        <w:rPr>
          <w:rFonts w:ascii="Times New Roman" w:eastAsia="Times New Roman" w:hAnsi="Times New Roman" w:cs="Times New Roman"/>
          <w:sz w:val="28"/>
          <w:szCs w:val="28"/>
          <w:lang w:eastAsia="es-ES"/>
        </w:rPr>
        <w:t>”.</w:t>
      </w:r>
    </w:p>
    <w:p w:rsidR="00C140E6" w:rsidRDefault="00C140E6" w:rsidP="005263AA">
      <w:pPr>
        <w:pStyle w:val="Prrafodelista"/>
        <w:numPr>
          <w:ilvl w:val="0"/>
          <w:numId w:val="1"/>
        </w:num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Conviene dejar claro que de haber tratados o convenci</w:t>
      </w:r>
      <w:r w:rsidR="004873D3">
        <w:rPr>
          <w:rFonts w:ascii="Times New Roman" w:eastAsia="Times New Roman" w:hAnsi="Times New Roman" w:cs="Times New Roman"/>
          <w:sz w:val="28"/>
          <w:szCs w:val="28"/>
          <w:lang w:eastAsia="es-ES"/>
        </w:rPr>
        <w:t xml:space="preserve">ones ratificados por Costa Rica, hay que aplicarlos en primer lugar, por la autoridad superior que tienen sobre las leyes, conforme los dispone el artículo 7° de la Constitución; a falta de ellos o en lo no regulado por ellos, se aplica la Ley de Extradición N°5991 de 9 de noviembre de 1976, y así lo establece su artículo 1°. No existe ningún tratado de extradición entre Costa Rica y la Unión de Repúblicas Socialistas Soviéticas y la Convención sobre la Imprescriptibilidad de los Crímenes de Guerra y de los Crímenes de Lesa Humanidad, suscrita por Costa Rica en la Asamblea General de las Naciones Unidas el 26 de noviembre de 1968, no ha sido ratificada por ley en nuestro país (folios 190 al 194 del expediente principal). En tal situación, no tiene influencia jurídica </w:t>
      </w:r>
      <w:r w:rsidR="007065AA">
        <w:rPr>
          <w:rFonts w:ascii="Times New Roman" w:eastAsia="Times New Roman" w:hAnsi="Times New Roman" w:cs="Times New Roman"/>
          <w:sz w:val="28"/>
          <w:szCs w:val="28"/>
          <w:lang w:eastAsia="es-ES"/>
        </w:rPr>
        <w:t>el hecho de que la Unión de Repúblicas Socialistas Soviéticas si haya aprobado y ratificado algunas de esas convenciones, si Costa Rica no las ha ratificado, lo que tiene que hacerse mediante una ley (artículos 7° y 121°, inciso 4° de la Constitución).</w:t>
      </w:r>
    </w:p>
    <w:p w:rsidR="00C62E24" w:rsidRDefault="009B2CC4" w:rsidP="005263AA">
      <w:pPr>
        <w:pStyle w:val="Prrafodelista"/>
        <w:numPr>
          <w:ilvl w:val="0"/>
          <w:numId w:val="1"/>
        </w:num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En materia de extradición un sector de la doctrina sostiene que la prescripción se rige por la ley del país requirente; otro sector </w:t>
      </w:r>
      <w:r w:rsidR="00AC53A4">
        <w:rPr>
          <w:rFonts w:ascii="Times New Roman" w:eastAsia="Times New Roman" w:hAnsi="Times New Roman" w:cs="Times New Roman"/>
          <w:sz w:val="28"/>
          <w:szCs w:val="28"/>
          <w:lang w:eastAsia="es-ES"/>
        </w:rPr>
        <w:t>sostiene que se aplica la ley de país requerido o de cualquiera de los dos países, porque es un punto que “</w:t>
      </w:r>
      <w:r w:rsidR="00AC53A4" w:rsidRPr="00E94807">
        <w:rPr>
          <w:rFonts w:ascii="Times New Roman" w:eastAsia="Times New Roman" w:hAnsi="Times New Roman" w:cs="Times New Roman"/>
          <w:i/>
          <w:sz w:val="28"/>
          <w:szCs w:val="28"/>
          <w:lang w:eastAsia="es-ES"/>
        </w:rPr>
        <w:t>suele ser regulado de muy diferentes maneras en las diversas legislaciones</w:t>
      </w:r>
      <w:r w:rsidR="00AC53A4">
        <w:rPr>
          <w:rFonts w:ascii="Times New Roman" w:eastAsia="Times New Roman" w:hAnsi="Times New Roman" w:cs="Times New Roman"/>
          <w:sz w:val="28"/>
          <w:szCs w:val="28"/>
          <w:lang w:eastAsia="es-ES"/>
        </w:rPr>
        <w:t xml:space="preserve">”. Así lo expone, entre otros, Sebastián Soler, Derecho Penal Argentino, ediciones de 1973 y 1976, Tomo I, páginas 182 y 183. La convención de Derecho Internacional Privado conocida como Código Bustamante, en el artículo 359 dispone que no debe accederse a la extradición si han prescrito el delito o la pena, conforme a </w:t>
      </w:r>
      <w:r w:rsidR="00A20371">
        <w:rPr>
          <w:rFonts w:ascii="Times New Roman" w:eastAsia="Times New Roman" w:hAnsi="Times New Roman" w:cs="Times New Roman"/>
          <w:sz w:val="28"/>
          <w:szCs w:val="28"/>
          <w:lang w:eastAsia="es-ES"/>
        </w:rPr>
        <w:t>las leyes del Estado requirente o del requerido. El Código Penal de 1941 establecía: “</w:t>
      </w:r>
      <w:r w:rsidR="00A20371" w:rsidRPr="00E94807">
        <w:rPr>
          <w:rFonts w:ascii="Times New Roman" w:eastAsia="Times New Roman" w:hAnsi="Times New Roman" w:cs="Times New Roman"/>
          <w:i/>
          <w:sz w:val="28"/>
          <w:szCs w:val="28"/>
          <w:u w:val="single"/>
          <w:lang w:eastAsia="es-ES"/>
        </w:rPr>
        <w:t>Artículo II.</w:t>
      </w:r>
      <w:r w:rsidR="00A20371" w:rsidRPr="00E94807">
        <w:rPr>
          <w:rFonts w:ascii="Times New Roman" w:eastAsia="Times New Roman" w:hAnsi="Times New Roman" w:cs="Times New Roman"/>
          <w:i/>
          <w:sz w:val="28"/>
          <w:szCs w:val="28"/>
          <w:lang w:eastAsia="es-ES"/>
        </w:rPr>
        <w:t xml:space="preserve"> No se ofrecerá ni concederá la extradición: …</w:t>
      </w:r>
      <w:r w:rsidR="00A20371" w:rsidRPr="00E94807">
        <w:rPr>
          <w:rFonts w:ascii="Times New Roman" w:eastAsia="Times New Roman" w:hAnsi="Times New Roman" w:cs="Times New Roman"/>
          <w:i/>
          <w:sz w:val="28"/>
          <w:szCs w:val="28"/>
          <w:u w:val="single"/>
          <w:lang w:eastAsia="es-ES"/>
        </w:rPr>
        <w:t xml:space="preserve">3. </w:t>
      </w:r>
      <w:r w:rsidR="00A20371" w:rsidRPr="00E94807">
        <w:rPr>
          <w:rFonts w:ascii="Times New Roman" w:eastAsia="Times New Roman" w:hAnsi="Times New Roman" w:cs="Times New Roman"/>
          <w:i/>
          <w:sz w:val="28"/>
          <w:szCs w:val="28"/>
          <w:lang w:eastAsia="es-ES"/>
        </w:rPr>
        <w:t>Cuando conforme a las leyes de Cos</w:t>
      </w:r>
      <w:r w:rsidR="00064BDD" w:rsidRPr="00E94807">
        <w:rPr>
          <w:rFonts w:ascii="Times New Roman" w:eastAsia="Times New Roman" w:hAnsi="Times New Roman" w:cs="Times New Roman"/>
          <w:i/>
          <w:sz w:val="28"/>
          <w:szCs w:val="28"/>
          <w:lang w:eastAsia="es-ES"/>
        </w:rPr>
        <w:t>ta Rica o del Estado reclamante, hubiere prescrito la acción penal o la pena</w:t>
      </w:r>
      <w:r w:rsidR="00064BDD">
        <w:rPr>
          <w:rFonts w:ascii="Times New Roman" w:eastAsia="Times New Roman" w:hAnsi="Times New Roman" w:cs="Times New Roman"/>
          <w:sz w:val="28"/>
          <w:szCs w:val="28"/>
          <w:lang w:eastAsia="es-ES"/>
        </w:rPr>
        <w:t xml:space="preserve">”. Igual regla contenían las leyes de Extradición, números 4795 de 6 de julio de 1971 y 5497 de 22 de marzo de 1974, en el artículo 2° inciso 3° y en el artículo 3° inciso 4° respectivamente. La Ley de Extradición vigente, N°5991 de 9 de noviembre de 1976, es más categórica al referirla exclusivamente a la ley costarricense, desde que dispone: </w:t>
      </w:r>
      <w:r w:rsidR="00064BDD">
        <w:rPr>
          <w:rFonts w:ascii="Times New Roman" w:eastAsia="Times New Roman" w:hAnsi="Times New Roman" w:cs="Times New Roman"/>
          <w:sz w:val="28"/>
          <w:szCs w:val="28"/>
          <w:u w:val="single"/>
          <w:lang w:eastAsia="es-ES"/>
        </w:rPr>
        <w:t>Artículo 3°.</w:t>
      </w:r>
      <w:r w:rsidR="00064BDD">
        <w:rPr>
          <w:rFonts w:ascii="Times New Roman" w:eastAsia="Times New Roman" w:hAnsi="Times New Roman" w:cs="Times New Roman"/>
          <w:sz w:val="28"/>
          <w:szCs w:val="28"/>
          <w:lang w:eastAsia="es-ES"/>
        </w:rPr>
        <w:t xml:space="preserve"> No se ofrecerá ni concederá la extradición: …</w:t>
      </w:r>
      <w:r w:rsidR="00064BDD">
        <w:rPr>
          <w:rFonts w:ascii="Times New Roman" w:eastAsia="Times New Roman" w:hAnsi="Times New Roman" w:cs="Times New Roman"/>
          <w:sz w:val="28"/>
          <w:szCs w:val="28"/>
          <w:u w:val="single"/>
          <w:lang w:eastAsia="es-ES"/>
        </w:rPr>
        <w:t xml:space="preserve">d) </w:t>
      </w:r>
      <w:r w:rsidR="00064BDD">
        <w:rPr>
          <w:rFonts w:ascii="Times New Roman" w:eastAsia="Times New Roman" w:hAnsi="Times New Roman" w:cs="Times New Roman"/>
          <w:sz w:val="28"/>
          <w:szCs w:val="28"/>
          <w:lang w:eastAsia="es-ES"/>
        </w:rPr>
        <w:t xml:space="preserve">Cuando el hecho imputado no fuere delito, según la ley costarricense, o siéndolo hubiera prescrito la acción penal o la pena”. De acuerdo con todo lo expuesto es evidente que, tanto en lo gramatical cuanto en lo jurídico, el contenido del inciso d) se refiere a la aplicación de la ley costarricense en los dos aspectos que contempla, sea que no procede la extradición si el hecho no fuere delito </w:t>
      </w:r>
      <w:r w:rsidR="00CC6893">
        <w:rPr>
          <w:rFonts w:ascii="Times New Roman" w:eastAsia="Times New Roman" w:hAnsi="Times New Roman" w:cs="Times New Roman"/>
          <w:sz w:val="28"/>
          <w:szCs w:val="28"/>
          <w:lang w:eastAsia="es-ES"/>
        </w:rPr>
        <w:t xml:space="preserve">según la ley costarricense, o que siéndolo, hubiera prescrito la acción o la pena según la ley costarricense. La ley del país requirente solo cabe aplicarla cuando sea más beneficiosa al imputado, sea </w:t>
      </w:r>
      <w:r w:rsidR="00C62E24">
        <w:rPr>
          <w:rFonts w:ascii="Times New Roman" w:eastAsia="Times New Roman" w:hAnsi="Times New Roman" w:cs="Times New Roman"/>
          <w:sz w:val="28"/>
          <w:szCs w:val="28"/>
          <w:lang w:eastAsia="es-ES"/>
        </w:rPr>
        <w:t>cuando establezca una prescripción menor que la de la ley costarricense, ante la posibilidad de que sin haber prescripción en Costa Rica si la haya en el Estado requirente, conforme se expuso en el Considerando III.</w:t>
      </w:r>
    </w:p>
    <w:p w:rsidR="007065AA" w:rsidRDefault="00C62E24" w:rsidP="005263AA">
      <w:pPr>
        <w:pStyle w:val="Prrafodelista"/>
        <w:numPr>
          <w:ilvl w:val="0"/>
          <w:numId w:val="1"/>
        </w:num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En Costa Rica y conforme lo establece el artículo 82 del Código Penal, el plazo mayor de prescripción de la acción penal es de quince años, el cual estaba ampliamente </w:t>
      </w:r>
      <w:r w:rsidR="00CE4F02">
        <w:rPr>
          <w:rFonts w:ascii="Times New Roman" w:eastAsia="Times New Roman" w:hAnsi="Times New Roman" w:cs="Times New Roman"/>
          <w:sz w:val="28"/>
          <w:szCs w:val="28"/>
          <w:lang w:eastAsia="es-ES"/>
        </w:rPr>
        <w:t>vencido cuando se presentó la solicitud de extradición, lo que de acuerdo con el artículo 3°, inciso d), de la Ley respectiva, obliga a no conceder la extradición. Al no haberlo entendido así y al haber resuelto de otra manera el Tribunal Superior respectivo</w:t>
      </w:r>
      <w:r w:rsidR="00F702E9">
        <w:rPr>
          <w:rFonts w:ascii="Times New Roman" w:eastAsia="Times New Roman" w:hAnsi="Times New Roman" w:cs="Times New Roman"/>
          <w:sz w:val="28"/>
          <w:szCs w:val="28"/>
          <w:lang w:eastAsia="es-ES"/>
        </w:rPr>
        <w:t xml:space="preserve">, esa resolución es de ejecución ineficaz y torna ilegítima la restricción de la libertad, lo que hace procedente el recurso de Hábeas Corpus y que se ordene de inmediato la libertad de la persona (artículo 1° y 10 de la Ley de Hábeas Corpus). Como se dijo en el Considerando I, no interesa ni corresponde considerar </w:t>
      </w:r>
      <w:r w:rsidR="00562C6C">
        <w:rPr>
          <w:rFonts w:ascii="Times New Roman" w:eastAsia="Times New Roman" w:hAnsi="Times New Roman" w:cs="Times New Roman"/>
          <w:sz w:val="28"/>
          <w:szCs w:val="28"/>
          <w:lang w:eastAsia="es-ES"/>
        </w:rPr>
        <w:t xml:space="preserve">ahora la inocencia o la culpabilidad del imputado, lo único que interesa es que guarda prisión por una resolución de ejecución ineficaz y que por lo mismo convierte en ilegítima la restricción de la libertad. Y como se trata de una resolución definitiva y firme, alguien tiene que decirlo y resolverlo así, y corresponde hacerlo ahora precisamente a la Corte Plena, con la competencia y función constitucional que le otorgan el artículo 48 de la Constitución Política y la Ley de Hábeas Corpus. </w:t>
      </w:r>
    </w:p>
    <w:p w:rsidR="00562C6C" w:rsidRPr="005263AA" w:rsidRDefault="00562C6C" w:rsidP="005263AA">
      <w:pPr>
        <w:pStyle w:val="Prrafodelista"/>
        <w:numPr>
          <w:ilvl w:val="0"/>
          <w:numId w:val="1"/>
        </w:num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En consecuencia, mi voto es por declarar con lugar el recurso de Hábeas Corpus y ordenar la inmediata libertad.</w:t>
      </w:r>
      <w:bookmarkStart w:id="0" w:name="_GoBack"/>
      <w:bookmarkEnd w:id="0"/>
    </w:p>
    <w:p w:rsidR="00665B24" w:rsidRPr="00665B24" w:rsidRDefault="00665B24" w:rsidP="00665B24">
      <w:pPr>
        <w:spacing w:line="360" w:lineRule="auto"/>
        <w:jc w:val="both"/>
        <w:rPr>
          <w:rFonts w:ascii="Times New Roman" w:eastAsia="Times New Roman" w:hAnsi="Times New Roman" w:cs="Times New Roman"/>
          <w:sz w:val="28"/>
          <w:szCs w:val="28"/>
          <w:lang w:eastAsia="es-ES"/>
        </w:rPr>
      </w:pPr>
    </w:p>
    <w:p w:rsidR="00C20033" w:rsidRPr="00F42828" w:rsidRDefault="00C20033" w:rsidP="00F42828">
      <w:pPr>
        <w:spacing w:line="360" w:lineRule="auto"/>
        <w:jc w:val="both"/>
        <w:rPr>
          <w:rFonts w:ascii="Times New Roman" w:eastAsia="Times New Roman" w:hAnsi="Times New Roman" w:cs="Times New Roman"/>
          <w:sz w:val="28"/>
          <w:szCs w:val="28"/>
          <w:lang w:eastAsia="es-ES"/>
        </w:rPr>
      </w:pPr>
    </w:p>
    <w:p w:rsidR="00F42828" w:rsidRPr="005F76EA" w:rsidRDefault="00F42828" w:rsidP="005F76EA">
      <w:pPr>
        <w:spacing w:line="360" w:lineRule="auto"/>
        <w:jc w:val="both"/>
        <w:rPr>
          <w:rFonts w:ascii="Times New Roman" w:eastAsia="Times New Roman" w:hAnsi="Times New Roman" w:cs="Times New Roman"/>
          <w:sz w:val="28"/>
          <w:szCs w:val="28"/>
          <w:lang w:eastAsia="es-ES"/>
        </w:rPr>
      </w:pPr>
    </w:p>
    <w:p w:rsidR="00C62E06" w:rsidRDefault="00C62E06"/>
    <w:sectPr w:rsidR="00C62E06" w:rsidSect="00CF3E5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033C2"/>
    <w:multiLevelType w:val="hybridMultilevel"/>
    <w:tmpl w:val="2CE488C6"/>
    <w:lvl w:ilvl="0" w:tplc="45AC53D2">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grammar="clean"/>
  <w:defaultTabStop w:val="708"/>
  <w:hyphenationZone w:val="425"/>
  <w:characterSpacingControl w:val="doNotCompress"/>
  <w:compat/>
  <w:rsids>
    <w:rsidRoot w:val="002A58FB"/>
    <w:rsid w:val="00064BDD"/>
    <w:rsid w:val="000916F3"/>
    <w:rsid w:val="000B46DB"/>
    <w:rsid w:val="00111079"/>
    <w:rsid w:val="00161DA8"/>
    <w:rsid w:val="001F224D"/>
    <w:rsid w:val="002431D4"/>
    <w:rsid w:val="00253F86"/>
    <w:rsid w:val="00267D3B"/>
    <w:rsid w:val="00284594"/>
    <w:rsid w:val="002A58FB"/>
    <w:rsid w:val="00303903"/>
    <w:rsid w:val="003B6D3F"/>
    <w:rsid w:val="0047136E"/>
    <w:rsid w:val="004873D3"/>
    <w:rsid w:val="004A18A4"/>
    <w:rsid w:val="004E5306"/>
    <w:rsid w:val="004E723E"/>
    <w:rsid w:val="00503BF3"/>
    <w:rsid w:val="005263AA"/>
    <w:rsid w:val="00562C6C"/>
    <w:rsid w:val="00583354"/>
    <w:rsid w:val="005E2EB4"/>
    <w:rsid w:val="005F76EA"/>
    <w:rsid w:val="00665B24"/>
    <w:rsid w:val="00692FA7"/>
    <w:rsid w:val="006A2A08"/>
    <w:rsid w:val="006B0D88"/>
    <w:rsid w:val="007065AA"/>
    <w:rsid w:val="008A1B8F"/>
    <w:rsid w:val="00977B42"/>
    <w:rsid w:val="00986840"/>
    <w:rsid w:val="009A7323"/>
    <w:rsid w:val="009B2CC4"/>
    <w:rsid w:val="00A03DDE"/>
    <w:rsid w:val="00A20371"/>
    <w:rsid w:val="00A42BF0"/>
    <w:rsid w:val="00AB4AB4"/>
    <w:rsid w:val="00AC53A4"/>
    <w:rsid w:val="00AD4725"/>
    <w:rsid w:val="00AD588E"/>
    <w:rsid w:val="00B274DD"/>
    <w:rsid w:val="00B40C78"/>
    <w:rsid w:val="00B7142B"/>
    <w:rsid w:val="00BB113A"/>
    <w:rsid w:val="00C020C6"/>
    <w:rsid w:val="00C140E6"/>
    <w:rsid w:val="00C20033"/>
    <w:rsid w:val="00C23CD0"/>
    <w:rsid w:val="00C62E06"/>
    <w:rsid w:val="00C62E24"/>
    <w:rsid w:val="00C73370"/>
    <w:rsid w:val="00CC6893"/>
    <w:rsid w:val="00CE4F02"/>
    <w:rsid w:val="00CF3E53"/>
    <w:rsid w:val="00DB3F11"/>
    <w:rsid w:val="00DF109F"/>
    <w:rsid w:val="00E04075"/>
    <w:rsid w:val="00E70B11"/>
    <w:rsid w:val="00E94807"/>
    <w:rsid w:val="00EF2EE6"/>
    <w:rsid w:val="00F42828"/>
    <w:rsid w:val="00F702E9"/>
    <w:rsid w:val="00FE004E"/>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725"/>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2EB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5</Pages>
  <Words>3123</Words>
  <Characters>17181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Garro</dc:creator>
  <cp:keywords/>
  <dc:description/>
  <cp:lastModifiedBy>rbeers</cp:lastModifiedBy>
  <cp:revision>37</cp:revision>
  <dcterms:created xsi:type="dcterms:W3CDTF">2017-10-17T19:52:00Z</dcterms:created>
  <dcterms:modified xsi:type="dcterms:W3CDTF">2017-11-02T15:36:00Z</dcterms:modified>
</cp:coreProperties>
</file>