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36" w:rsidRPr="001B62F5" w:rsidRDefault="00206336" w:rsidP="0020633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N° 3</w:t>
      </w:r>
      <w:r w:rsidRPr="001B62F5">
        <w:rPr>
          <w:rFonts w:ascii="Calibri" w:eastAsia="Calibri" w:hAnsi="Calibri"/>
          <w:b/>
          <w:sz w:val="22"/>
          <w:szCs w:val="22"/>
          <w:lang w:eastAsia="en-US"/>
        </w:rPr>
        <w:t>-8</w:t>
      </w:r>
      <w:r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206336" w:rsidRPr="001B62F5" w:rsidRDefault="00206336" w:rsidP="00206336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Sesión </w:t>
      </w:r>
      <w:r>
        <w:rPr>
          <w:rFonts w:ascii="Calibri" w:eastAsia="Calibri" w:hAnsi="Calibri"/>
          <w:sz w:val="22"/>
          <w:szCs w:val="22"/>
          <w:lang w:eastAsia="en-US"/>
        </w:rPr>
        <w:t>extra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ordinaria de Corte Plena celebrada a las trece horas </w:t>
      </w:r>
      <w:r>
        <w:rPr>
          <w:rFonts w:ascii="Calibri" w:eastAsia="Calibri" w:hAnsi="Calibri"/>
          <w:sz w:val="22"/>
          <w:szCs w:val="22"/>
          <w:lang w:eastAsia="en-US"/>
        </w:rPr>
        <w:t xml:space="preserve">y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treinta minutos del </w:t>
      </w:r>
      <w:r>
        <w:rPr>
          <w:rFonts w:ascii="Calibri" w:eastAsia="Calibri" w:hAnsi="Calibri"/>
          <w:sz w:val="22"/>
          <w:szCs w:val="22"/>
          <w:lang w:eastAsia="en-US"/>
        </w:rPr>
        <w:t xml:space="preserve">catorce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enero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mil novecientos ochenta y </w:t>
      </w:r>
      <w:r>
        <w:rPr>
          <w:rFonts w:ascii="Calibri" w:eastAsia="Calibri" w:hAnsi="Calibri"/>
          <w:sz w:val="22"/>
          <w:szCs w:val="22"/>
          <w:lang w:eastAsia="en-US"/>
        </w:rPr>
        <w:t>ocho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, con asistencia inicial de los Magistrados Blanco, Presidente; Cervantes, </w:t>
      </w:r>
      <w:r>
        <w:rPr>
          <w:rFonts w:ascii="Calibri" w:eastAsia="Calibri" w:hAnsi="Calibri"/>
          <w:sz w:val="22"/>
          <w:szCs w:val="22"/>
          <w:lang w:eastAsia="en-US"/>
        </w:rPr>
        <w:t xml:space="preserve">Chacón,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Arias, Rodríguez, </w:t>
      </w:r>
      <w:r>
        <w:rPr>
          <w:rFonts w:ascii="Calibri" w:eastAsia="Calibri" w:hAnsi="Calibri"/>
          <w:sz w:val="22"/>
          <w:szCs w:val="22"/>
          <w:lang w:eastAsia="en-US"/>
        </w:rPr>
        <w:t xml:space="preserve">Fernández,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Arce, Ching, </w:t>
      </w:r>
      <w:r>
        <w:rPr>
          <w:rFonts w:ascii="Calibri" w:eastAsia="Calibri" w:hAnsi="Calibri"/>
          <w:sz w:val="22"/>
          <w:szCs w:val="22"/>
          <w:lang w:eastAsia="en-US"/>
        </w:rPr>
        <w:t xml:space="preserve">Carvajal,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Ramírez, </w:t>
      </w:r>
      <w:r>
        <w:rPr>
          <w:rFonts w:ascii="Calibri" w:eastAsia="Calibri" w:hAnsi="Calibri"/>
          <w:sz w:val="22"/>
          <w:szCs w:val="22"/>
          <w:lang w:eastAsia="en-US"/>
        </w:rPr>
        <w:t xml:space="preserve">Guzmán, </w:t>
      </w:r>
      <w:r w:rsidRPr="001B62F5">
        <w:rPr>
          <w:rFonts w:ascii="Calibri" w:eastAsia="Calibri" w:hAnsi="Calibri"/>
          <w:sz w:val="22"/>
          <w:szCs w:val="22"/>
          <w:lang w:eastAsia="en-US"/>
        </w:rPr>
        <w:t>Houed y González.</w:t>
      </w:r>
    </w:p>
    <w:p w:rsidR="00206336" w:rsidRPr="001B62F5" w:rsidRDefault="00206336" w:rsidP="00206336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Artículo VIII</w:t>
      </w:r>
    </w:p>
    <w:p w:rsidR="00206336" w:rsidRDefault="00206336" w:rsidP="00206336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82F47">
        <w:rPr>
          <w:rFonts w:ascii="Calibri" w:eastAsia="Calibri" w:hAnsi="Calibri"/>
          <w:b/>
          <w:sz w:val="22"/>
          <w:szCs w:val="22"/>
          <w:lang w:eastAsia="en-US"/>
        </w:rPr>
        <w:t>ENTRA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EL MAGISTRADO COTO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DB3FF9" w:rsidRDefault="00206336" w:rsidP="00206336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El Juzgado de Instrucción de Grecia remitió a la Secretaría de esta Corte una copia del memorial que presentó en ese despacho el señor Luis M. Martínez Rojas</w:t>
      </w:r>
      <w:r w:rsidR="007F5366">
        <w:rPr>
          <w:rFonts w:ascii="Calibri" w:eastAsia="Calibri" w:hAnsi="Calibri"/>
          <w:sz w:val="22"/>
          <w:szCs w:val="22"/>
          <w:lang w:eastAsia="en-US"/>
        </w:rPr>
        <w:t xml:space="preserve">, pues este además de gestionar su excarcelación, también plantea un </w:t>
      </w:r>
      <w:r w:rsidR="00DB3FF9">
        <w:rPr>
          <w:rFonts w:ascii="Calibri" w:eastAsia="Calibri" w:hAnsi="Calibri"/>
          <w:sz w:val="22"/>
          <w:szCs w:val="22"/>
          <w:lang w:eastAsia="en-US"/>
        </w:rPr>
        <w:t>recurso de Hábeas Corpus en su favor. Alega que se halla guardando prisión por más de un año y seis meses en asunto en el que se considera que es inocente.</w:t>
      </w:r>
    </w:p>
    <w:p w:rsidR="00C4386D" w:rsidRDefault="00DB3FF9" w:rsidP="00206336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Se solicitó informe al propio Juzgado de Instrucción de Grecia, el cual fue rendido por el Juez Suplente Señor Pablo Vega Castro en los siguientes términos: Que contra el señor Martínez instruye causa por estafa la cual dio inicio en setiembre de 1986, asunto en que por la gravedad de los hechos decretó la detención provisional</w:t>
      </w:r>
      <w:r w:rsidR="008E3E33">
        <w:rPr>
          <w:rFonts w:ascii="Calibri" w:eastAsia="Calibri" w:hAnsi="Calibri"/>
          <w:sz w:val="22"/>
          <w:szCs w:val="22"/>
          <w:lang w:eastAsia="en-US"/>
        </w:rPr>
        <w:t xml:space="preserve"> de los imputados, entre ellos el recurrente, y que posteriormente se dictó auto de procesamiento y prisión preventiva; que al imputado en cuestión en varias ocasiones se le ha concedido la excarcelación bajo caución juratoria, las que ha revocado el Tribunal Superior de Alajuela, acordándolas mediante caución</w:t>
      </w:r>
      <w:r w:rsidR="00C4386D">
        <w:rPr>
          <w:rFonts w:ascii="Calibri" w:eastAsia="Calibri" w:hAnsi="Calibri"/>
          <w:sz w:val="22"/>
          <w:szCs w:val="22"/>
          <w:lang w:eastAsia="en-US"/>
        </w:rPr>
        <w:t xml:space="preserve"> real o personal, en una primera ocasión de cien mil colones la cual no ha sido rendida.</w:t>
      </w:r>
    </w:p>
    <w:p w:rsidR="00040E0B" w:rsidRDefault="00C4386D" w:rsidP="00206336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Examinado el expediente, el legajo de excarcelación, consta que dicho Tribunal Superior, a las 14:15 horas del 8 de enero en curso, conoció de una resolución dictada por el Juzgado de Instrucción de Grecia, que concede excarcelación mediante caución juratoria, lo que el Tribunal aprueba</w:t>
      </w:r>
      <w:r w:rsidR="00040E0B">
        <w:rPr>
          <w:rFonts w:ascii="Calibri" w:eastAsia="Calibri" w:hAnsi="Calibri"/>
          <w:sz w:val="22"/>
          <w:szCs w:val="22"/>
          <w:lang w:eastAsia="en-US"/>
        </w:rPr>
        <w:t xml:space="preserve"> pero mediante garantía real de cincuenta mil colones. Resolución que se halla pendiente de notificar.</w:t>
      </w:r>
    </w:p>
    <w:p w:rsidR="00206336" w:rsidRPr="00733F5F" w:rsidRDefault="00040E0B" w:rsidP="00206336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Previa deliberación, y por unanimidad de votos, se acordó: Declarar sin lugar el recurso, pues contra el señor Martínez existe auto de procesamiento y prisión preventiva, asunto en el que como se informó se le ha concedido la excarcelación con garantía real, la que no ha sido rendida</w:t>
      </w:r>
      <w:r w:rsidR="00206336">
        <w:rPr>
          <w:rFonts w:ascii="Calibri" w:eastAsia="Calibri" w:hAnsi="Calibri"/>
          <w:sz w:val="22"/>
          <w:szCs w:val="22"/>
          <w:lang w:eastAsia="en-US"/>
        </w:rPr>
        <w:t>.</w:t>
      </w:r>
    </w:p>
    <w:sectPr w:rsidR="00206336" w:rsidRPr="00733F5F" w:rsidSect="00804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06336"/>
    <w:rsid w:val="00033CB9"/>
    <w:rsid w:val="00040E0B"/>
    <w:rsid w:val="00206336"/>
    <w:rsid w:val="00712C1C"/>
    <w:rsid w:val="007F5366"/>
    <w:rsid w:val="008E3E33"/>
    <w:rsid w:val="00956078"/>
    <w:rsid w:val="00B27B18"/>
    <w:rsid w:val="00C4386D"/>
    <w:rsid w:val="00DB3FF9"/>
    <w:rsid w:val="00E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3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2017-10-18T21:06:00Z</dcterms:created>
  <dcterms:modified xsi:type="dcterms:W3CDTF">2017-10-18T22:08:00Z</dcterms:modified>
</cp:coreProperties>
</file>