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3" w:rsidRPr="001B62F5" w:rsidRDefault="00F72E53" w:rsidP="00F72E53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6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F72E53" w:rsidRPr="001B62F5" w:rsidRDefault="00F72E53" w:rsidP="00F72E53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ordinaria de Corte Plena celebrada a las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ocho horas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veintiocho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enero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inicial de los Magistrados Blanco, Presidente; </w:t>
      </w:r>
      <w:r>
        <w:rPr>
          <w:rFonts w:ascii="Calibri" w:eastAsia="Calibri" w:hAnsi="Calibri"/>
          <w:sz w:val="22"/>
          <w:szCs w:val="22"/>
          <w:lang w:eastAsia="en-US"/>
        </w:rPr>
        <w:t xml:space="preserve">Coto,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Cervantes,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Chacón, Arias, Rodríguez, Zamora, Fernández,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Arce, </w:t>
      </w:r>
      <w:r>
        <w:rPr>
          <w:rFonts w:ascii="Calibri" w:eastAsia="Calibri" w:hAnsi="Calibri"/>
          <w:sz w:val="22"/>
          <w:szCs w:val="22"/>
          <w:lang w:eastAsia="en-US"/>
        </w:rPr>
        <w:t xml:space="preserve">Ching, Carvajal,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Ramírez, </w:t>
      </w:r>
      <w:r>
        <w:rPr>
          <w:rFonts w:ascii="Calibri" w:eastAsia="Calibri" w:hAnsi="Calibri"/>
          <w:sz w:val="22"/>
          <w:szCs w:val="22"/>
          <w:lang w:eastAsia="en-US"/>
        </w:rPr>
        <w:t xml:space="preserve">Guzmán, </w:t>
      </w:r>
      <w:r w:rsidRPr="001B62F5">
        <w:rPr>
          <w:rFonts w:ascii="Calibri" w:eastAsia="Calibri" w:hAnsi="Calibri"/>
          <w:sz w:val="22"/>
          <w:szCs w:val="22"/>
          <w:lang w:eastAsia="en-US"/>
        </w:rPr>
        <w:t>Houed y González.</w:t>
      </w:r>
    </w:p>
    <w:p w:rsidR="00F72E53" w:rsidRPr="001B62F5" w:rsidRDefault="00F72E53" w:rsidP="00F72E5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IV</w:t>
      </w:r>
    </w:p>
    <w:p w:rsidR="00F72E53" w:rsidRDefault="00F72E53" w:rsidP="00F72E53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6880">
        <w:rPr>
          <w:rFonts w:ascii="Calibri" w:eastAsia="Calibri" w:hAnsi="Calibri"/>
          <w:b/>
          <w:sz w:val="22"/>
          <w:szCs w:val="22"/>
          <w:lang w:eastAsia="en-US"/>
        </w:rPr>
        <w:t>ENTRA EL MAGISTRADO CARVAJAL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bookmarkStart w:id="0" w:name="_GoBack"/>
      <w:bookmarkEnd w:id="0"/>
    </w:p>
    <w:p w:rsidR="00F72E53" w:rsidRPr="00F4641D" w:rsidRDefault="00F72E53" w:rsidP="00F72E53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Con fundamento en el artículo 6º de la Ley de Hábeas Corpus, se acordó suspender por el término de cuarenta y ocho horas la decisión del recurso de Hábeas Corpus interpuesto en favor de Rafael Cordero Arroyo, a fin de que la señorita Juez de </w:t>
      </w:r>
      <w:r w:rsidR="004633ED">
        <w:rPr>
          <w:rFonts w:ascii="Calibri" w:eastAsia="Calibri" w:hAnsi="Calibri"/>
          <w:sz w:val="22"/>
          <w:szCs w:val="22"/>
          <w:lang w:eastAsia="en-US"/>
        </w:rPr>
        <w:t>Instrucción ad-</w:t>
      </w:r>
      <w:proofErr w:type="spellStart"/>
      <w:r w:rsidR="004633ED">
        <w:rPr>
          <w:rFonts w:ascii="Calibri" w:eastAsia="Calibri" w:hAnsi="Calibri"/>
          <w:sz w:val="22"/>
          <w:szCs w:val="22"/>
          <w:lang w:eastAsia="en-US"/>
        </w:rPr>
        <w:t>interim</w:t>
      </w:r>
      <w:proofErr w:type="spellEnd"/>
      <w:r w:rsidR="004633ED">
        <w:rPr>
          <w:rFonts w:ascii="Calibri" w:eastAsia="Calibri" w:hAnsi="Calibri"/>
          <w:sz w:val="22"/>
          <w:szCs w:val="22"/>
          <w:lang w:eastAsia="en-US"/>
        </w:rPr>
        <w:t xml:space="preserve"> de Pococí y Guácimo proceda perentoriamente a la tramitación del sumario, e informe si ordenó la detención del imputado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sectPr w:rsidR="00F72E53" w:rsidRPr="00F4641D" w:rsidSect="00A80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72E53"/>
    <w:rsid w:val="00033CB9"/>
    <w:rsid w:val="004633ED"/>
    <w:rsid w:val="00712C1C"/>
    <w:rsid w:val="00956078"/>
    <w:rsid w:val="00B05F4F"/>
    <w:rsid w:val="00EF4B5F"/>
    <w:rsid w:val="00F7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5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2017-10-24T19:10:00Z</dcterms:created>
  <dcterms:modified xsi:type="dcterms:W3CDTF">2017-10-24T19:23:00Z</dcterms:modified>
</cp:coreProperties>
</file>